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transitional">
  <w:body>
    <w:p>
      <w:r>
        <w:t>条目名称：准格尔煤田</w:t>
      </w:r>
    </w:p>
    <w:p>
      <w:r>
        <w:t>网址：https://www.zgbk.com/ecph/words?SiteID=1&amp;ID=152107&amp;Type=bkzyb&amp;SubID=78305</w:t>
      </w:r>
    </w:p>
    <w:p>
      <w:r>
        <w:t>中国石炭—二叠纪煤田。</w:t>
      </w:r>
    </w:p>
    <w:p>
      <w:r>
        <w:t>准格尔煤田位于鄂尔多斯市准格尔旗境内，北起东也兑乡，南至马棚一带，东临黄河，西至海子塔、长滩一线。煤田南北长约65千米，东西宽约21千米，面积近1400平方千米。</w:t>
      </w:r>
    </w:p>
    <w:p>
      <w:r>
        <w:t>煤田地质</w:t>
      </w:r>
    </w:p>
    <w:p>
      <w:r>
        <w:t>煤田总的构造轮廓为一东部隆起、西部坳陷，走向近南北，向西倾斜的单斜构造。北端地层走向转为北西，倾向南西，南端地层走向转为南西至东西，倾向北西或北。倾角一般小于10°，构造形态简单。煤田构造主要产生于地壳升降运动，构造形式以褶曲和正断层为主。煤田主要褶皱有窑沟背斜，窑沟向斜，西黄家梁背斜，老赵山梁背斜，双枣沟向斜等；断层稀少，主要有龙王沟正断层，焦稍沟正断层，田家石畔正断层。</w:t>
      </w:r>
    </w:p>
    <w:p>
      <w:r>
        <w:t>煤系和煤层</w:t>
      </w:r>
    </w:p>
    <w:p>
      <w:r>
        <w:t>煤田中的煤系为石炭—二叠纪煤系。石炭系上统本溪组、石炭系上统至二叠系下统太原组为本区主要含煤地层；其次为二叠系中、下统山西组。地层沉积序列与华北石炭—二叠纪各煤田基本相似。本溪组下部为褐红色铁质泥岩，局部为褐铁矿、铝质黏土岩；上部为深灰色泥岩、钙质泥岩、泥晶灰岩及石英砂岩，局部夹煤层，发育1～3层，均不可采，主要出露于煤田东缘黄河岸边。太原组全组含煤5层，6、9号煤层为主要可采煤层，其中6号煤层全区发育且较稳定，煤厚0.51～42.12米，平均厚度为23.06米，以黑岱沟矿区最厚，向南逐渐变薄，9号煤层煤厚0.15～14.67米，平均厚度3.65米。以窑沟矿区最厚，向南变薄。该组地层总厚12.31～95米，可采煤层累厚25.10米，含煤系数为35.56%，与下伏本溪组整合接触。山西组含煤5层，3层发育较稳定。</w:t>
      </w:r>
    </w:p>
    <w:p>
      <w:r>
        <w:t>煤炭资源</w:t>
      </w:r>
    </w:p>
    <w:p>
      <w:r>
        <w:t>煤田以长焰煤为主，局部为弱黏煤、气煤，深部以气煤为主，其变质因素主要以区域变质作用为主。埋深600米以浅煤层的镜煤最大反射率为0.57%～0.59%，准格尔区煤的变质程度低于全国同纪煤田。主要原因为煤田处于稳定地块，构造简单。另外煤层上部覆盖层较薄，影响着煤的变质程度。预测在煤田西部（深部）随着埋藏深度的加深，煤的变质程度增高，煤类发生变化，1000米以深主体煤类以气煤为主。截至2009年，准格尔煤田已建井生产的有38处，核定生产能力总计5586万吨。黑岱沟露天矿和哈尔乌素露天矿为特大型煤矿，2009年煤炭产量分别达到2160万吨和837万吨。</w:t>
      </w:r>
    </w:p>
    <w:p>
      <w:r>
        <w:t/>
      </w:r>
    </w:p>
    <w:p>
      <w:r>
        <w:t>作者：刘亢;魏迎春;</w:t>
      </w:r>
    </w:p>
    <w:p>
      <w:r>
        <w:t xml:space="preserve">
</w:t>
      </w:r>
    </w:p>
    <w:p>
      <w:r>
        <w:t xml:space="preserve">
</w:t>
      </w:r>
    </w:p>
    <w:p>
      <w:r>
        <w:t>条目名称：山东钢铁集团有限公司</w:t>
      </w:r>
    </w:p>
    <w:p>
      <w:r>
        <w:t>网址：https://www.zgbk.com/ecph/words?SiteID=1&amp;ID=201167&amp;Type=bkzyb&amp;SubID=64381</w:t>
      </w:r>
    </w:p>
    <w:p>
      <w:r>
        <w:t>由济钢集团有限公司、莱芜钢铁集团有限公司和山东省冶金工业总公司所属单位的国有产权划转而设立的中国国有特大型钢铁联合企业。简称山钢集团。</w:t>
      </w:r>
    </w:p>
    <w:p>
      <w:r>
        <w:t/>
      </w:r>
    </w:p>
    <w:p>
      <w:r>
        <w:t/>
      </w:r>
    </w:p>
    <w:p>
      <w:r>
        <w:t>作者：张海明;</w:t>
      </w:r>
    </w:p>
    <w:p>
      <w:r>
        <w:t xml:space="preserve">
</w:t>
      </w:r>
    </w:p>
    <w:p>
      <w:r>
        <w:t xml:space="preserve">
</w:t>
      </w:r>
    </w:p>
    <w:p>
      <w:r>
        <w:t>条目名称：风陵渡</w:t>
      </w:r>
    </w:p>
    <w:p>
      <w:r>
        <w:t>网址：https://www.zgbk.com/ecph/words?SiteID=1&amp;ID=219297&amp;Type=bkzyb&amp;SubID=139637</w:t>
      </w:r>
    </w:p>
    <w:p>
      <w:r>
        <w:t>黄河渡口。</w:t>
      </w:r>
    </w:p>
    <w:p>
      <w:r>
        <w:t>位于山西省芮城县风陵渡镇（见图），距县城30千米。为晋、秦、豫三省比邻要冲地带，有鸡叫一声听三省之称。风陵全称风后陵，亦作封陵，一说因有女娲的陵墓而得名，另一说则传为黄帝贤相风后的陵墓。在风陵渡附近赵村东南，有女娲墓，冢高2米，周边30米。</w:t>
      </w:r>
    </w:p>
    <w:p>
      <w:r>
        <w:t xml:space="preserve"> 风陵渡</w:t>
      </w:r>
    </w:p>
    <w:p>
      <w:r>
        <w:t>黄河经过河口镇后，为南北走向的吕梁山脉所阻，折向南流，奔腾于晋陕大峡谷。河水从壶口瀑布倾泻而下，出龙门继续南流，到潼关附近，因受东西走向的秦岭山脉其中一条支脉华山所阻，折向东流。风陵渡处于黄河东转的拐角。属暖温带大陆性半湿润气候。</w:t>
      </w:r>
    </w:p>
    <w:p>
      <w:r>
        <w:t>风陵渡自古以来就是河东、河南、关中咽喉要道，向来为兵家必争之地。魏国与秦国的古战场就在这里，东汉时的曹操讨伐韩遂、马超，西魏的宇文泰破高欢等著名战争，均发生的风陵渡。明清时在此设巡检司和船政司，管理防守和运输事宜。历史上一直以摆船渡河连接陕、豫二省。建有横跨山西、陕西黄河两岸的铁路大桥和公路大桥，使风陵渡镇成为中国唯一有两座大桥的镇。</w:t>
      </w:r>
    </w:p>
    <w:p>
      <w:r>
        <w:t>王锚深．山西导游．太原：山西科学技术出版社，1999．</w:t>
      </w:r>
    </w:p>
    <w:p>
      <w:r>
        <w:t>郭丛．风陵得名之由来及嬗变过程．中国历史地理论丛，2016，31（1）：141-151．</w:t>
      </w:r>
    </w:p>
    <w:p>
      <w:r>
        <w:t>伯仁，鲁顺民．风陵渡 悠远岁月的珍藏．科学之友，2007，（7）：36．</w:t>
      </w:r>
    </w:p>
    <w:p>
      <w:r>
        <w:t>作者：李继彦;</w:t>
      </w:r>
    </w:p>
    <w:p>
      <w:r>
        <w:t xml:space="preserve">
</w:t>
      </w:r>
    </w:p>
    <w:p>
      <w:r>
        <w:t xml:space="preserve">
</w:t>
      </w:r>
    </w:p>
    <w:p>
      <w:r>
        <w:t>条目名称：沙漠生态农业</w:t>
      </w:r>
    </w:p>
    <w:p>
      <w:r>
        <w:t>网址：https://www.zgbk.com/ecph/words?SiteID=1&amp;ID=46560&amp;Type=bkzyb&amp;SubID=76106</w:t>
      </w:r>
    </w:p>
    <w:p>
      <w:r>
        <w:t>以生态农业的思维和模式，在沙漠地区建设新农业绿洲。</w:t>
      </w:r>
    </w:p>
    <w:p>
      <w:r>
        <w:t>干旱地区绿洲周围流沙的固定及可利用土地资源的开发，是沙漠化土地整治所包括的两个基本内容——改造与利用相结合。这两个方面相互联系、相互补充，才能逐步达到生态文明建设与经济、社会建设多赢的目的。</w:t>
      </w:r>
    </w:p>
    <w:p>
      <w:r>
        <w:t>生态农业是运用生态学和生态经济学原理，应用现代科学技术方法发展起来的一种多层次、多结构、多功能和集约管理的综合农业生产体系。生态农业系统是一个人类和环境相互交织的过程，在地域上表现为一个耗散的生态结构，其功能具有可变性，即受制于自然和人类经济活动两方面的影响。其核心是由人类去调节与控制农业生产系统，并按经济目的精心安排系统的生物组分，干预、改造自然生态系统。在用人工植被代替天然植被的过程中，通过各种人工措施，强化生态系统的物质能量循环过程，从而获得优质高产的生物量，同时也创造一个良好的生产条件与生活环境。正是由于生态农业可以使第一性产品大幅度增加，解决干旱区人、畜需求与资源的矛盾，才能使大面积退化草场能够被封育保护、土地沙漠化的逆转成为可能。</w:t>
      </w:r>
    </w:p>
    <w:p>
      <w:r>
        <w:t>新农业绿洲建设采取的必要措施有：①根据绿洲唯水性的特征，以内陆河流域作为生态单元，全面规划绿洲生产和生态用水。根据“上、中、下游统筹兼顾，地表水、地下水和再生水源利用统一管理，用水比例合理分配”的原则，实施以水为中心的灌溉绿洲的区域性总体布局和结构调整，建立高效、稳定的流域人工生态系统。调整土地资源开发利用的程度，使其与水资源实际最大可能负担的灌溉能力相适应，也即所谓的“以水定田”，决定绿洲的合理规模。同时，以发挥水资源效能为原则，实施以引（渠首工程）、输（渠道防渗）、蓄（平原水库）、灌为主的一系列措施，并根据不同土地条件实施分区管理，合理灌溉（细流沟灌、畦灌等），把发展竖井排灌、扩大水资源和防治次生盐渍化结合起来。②以灌溉绿洲为中心，建立绿洲外围封沙育草带（利用冬季灌溉余水）、绿洲边缘乔灌结合的防沙林带与绿洲内部窄林带、小网格的护田林网相结合的防护体系。③对于绿洲边缘的流动沙丘，采取在沙丘上设置平铺沙障，障内栽植固沙植物与沙丘间营造片林相结合的防护体系，尽可能地保护和扩大绿洲荒漠间的过渡带。</w:t>
      </w:r>
    </w:p>
    <w:p>
      <w:r>
        <w:t/>
      </w:r>
    </w:p>
    <w:p>
      <w:r>
        <w:t>作者：陈广庭;</w:t>
      </w:r>
    </w:p>
    <w:p>
      <w:r>
        <w:t xml:space="preserve">
</w:t>
      </w:r>
    </w:p>
    <w:p>
      <w:r>
        <w:t xml:space="preserve">
</w:t>
      </w:r>
    </w:p>
    <w:p>
      <w:r>
        <w:t>条目名称：粮食作物</w:t>
      </w:r>
    </w:p>
    <w:p>
      <w:r>
        <w:t>网址：https://www.zgbk.com/ecph/words?SiteID=1&amp;ID=369566&amp;Type=bkztb&amp;SubID=192</w:t>
      </w:r>
    </w:p>
    <w:p>
      <w:r>
        <w:t/>
      </w:r>
    </w:p>
    <w:p>
      <w:r>
        <w:t>经加工而成为人类基本食粮的作物。</w:t>
      </w:r>
    </w:p>
    <w:p>
      <w:r>
        <w:t/>
      </w:r>
    </w:p>
    <w:p>
      <w:r>
        <w:t>明代时贵阳地区粮食作物主要是稻、麦、小米、高粱和豆类。明末引入玉米和薯类。中华民国时期主要有稻、玉米、麦、薯类、豆类和杂粮。1938年贵阳县粮食总产量4.03万吨。1949年粮食总产量为6.93万吨。中华人民共和国成立后，由于广泛调动了农民生产积极性，同时改善了粮食生产条件，引进和推广优良品种，普及推广农业适用技术，粮食生产水平显著提高。到1957年，全市粮食产量为9.56万吨，比1949年增长38%。1958～1962年，“大跃进”和“共产风”使贵阳市农业经济发展受到严重挫折，1962年粮食总产量比1957年下降10.1%。1963～1965年，实行三包一奖，农村经济得到较快恢复和发展，1965年全市粮食总产量9.14万吨，接近1957年的水平。从1964年的“四清”运动到“文化大革命”，贵阳粮食生产呈震荡性波动，粮食总产长期徘徊不前。1969年粮食总产量9.14万吨。1971年粮食总产量11.73万吨。1976年9.35万吨。中共十一届三中全会以后，全市粮食生产以科技为先导，大力推广先进农业适用技术和以杂交良种为主的高产栽培模式，综合配套增产技术，使粮食生产稳定发展。1984年总产量达13.1万吨。种类主要是稻谷、小麦、玉米、薯类和杂粮。1996年实行市带县体制，粮食总产量达54.86万吨。随着国家持续实施对农业的补贴政策和科技的进步，尤其是2005年以来实施的“粮食增产工程”和“粮食万亩连片高产创建工程”，对促进粮食生产，稳定粮食总产起到了十分重要的作用。2009年粮食总产值达到64.11万吨的峰值。2011年，贵阳市为加快种植业结构调整力度，提出“退粮进经”，强调次年“粮经比”比例调整为3：7，而且当年还遭遇了严重夏伏旱，粮食总量降到40.24万吨。2012年以来粮食生产呈恢复性增长，但由于播种面积的减少，粮食总产量稳定在43万吨左右。2014年粮食播种面积11.27万公顷，粮食产量45.92万吨，比上年增产6.1%。其中夏粮产量8.81万吨，增产1.9%；秋粮产量37.11万吨，增产7.2%。种类主要是稻谷18.8万吨，小麦1.03万吨，玉米16.12万吨，大豆0.76万吨，薯类8.72万吨。2020年，粮食种植面积132.25万亩，产量39.63万吨。</w:t>
      </w:r>
    </w:p>
    <w:p>
      <w:r>
        <w:t/>
      </w:r>
    </w:p>
    <w:p>
      <w:r>
        <w:t>作者：</w:t>
      </w:r>
    </w:p>
    <w:p>
      <w:r>
        <w:t xml:space="preserve">
</w:t>
      </w:r>
    </w:p>
    <w:p>
      <w:r>
        <w:t xml:space="preserve">
</w:t>
      </w:r>
    </w:p>
    <w:p>
      <w:r>
        <w:t>条目名称：河西走廊</w:t>
      </w:r>
    </w:p>
    <w:p>
      <w:r>
        <w:t>网址：https://www.zgbk.com/ecph/words?SiteID=1&amp;ID=284334&amp;Type=bkzyb&amp;SubID=154510</w:t>
      </w:r>
    </w:p>
    <w:p>
      <w:r>
        <w:t>中国甘肃省西北部狭长高平地。中国内地通往新疆维吾尔自治区的要道。</w:t>
      </w:r>
    </w:p>
    <w:p>
      <w:r>
        <w:t/>
      </w:r>
    </w:p>
    <w:p>
      <w:r>
        <w:t/>
      </w:r>
    </w:p>
    <w:p>
      <w:r>
        <w:t>作者：韩添丁;方创琳;</w:t>
      </w:r>
    </w:p>
    <w:p>
      <w:r>
        <w:t xml:space="preserve">
</w:t>
      </w:r>
    </w:p>
    <w:p>
      <w:r>
        <w:t xml:space="preserve">
</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s>

</file>

<file path=docProps/app.xml><?xml version="1.0" encoding="utf-8"?>
<Properties xmlns="http://schemas.openxmlformats.org/officeDocument/2006/extended-properties" xmlns:vt="http://schemas.openxmlformats.org/officeDocument/2006/docPropsVTypes" xmlns:xml="http://www.w3.org/XML/1998/namespace">
  <Company>Baliance LLC</Company>
  <LinksUpToDate>false</LinksUpToDate>
  <Application>baliance.com/gooxml</Application>
  <AppVersion>00.8000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