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sz w:val="24"/>
          <w:szCs w:val="24"/>
          <w:rtl w:val="0"/>
        </w:rPr>
        <w:t xml:space="preserve"> 01-02-2024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Marhaba Bank Social Media Report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 Overview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Kobaca iyo waxqabadka guud ee social platforms-ka bank-giga Marhaba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Waxaana halkaan ku cadeenena Guulaha lataabankaro ee aan gaarnay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Audience Growth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2055"/>
        <w:gridCol w:w="1935"/>
        <w:gridCol w:w="1590"/>
        <w:gridCol w:w="1875"/>
        <w:tblGridChange w:id="0">
          <w:tblGrid>
            <w:gridCol w:w="1875"/>
            <w:gridCol w:w="2055"/>
            <w:gridCol w:w="1935"/>
            <w:gridCol w:w="1590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38761d" w:val="clea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Platform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Followers before January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Followers end of January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Net Increase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Percentage Growth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Facebook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32150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32880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730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2.3%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Instagram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288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392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104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TikTok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3968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5386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1418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35%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Content Distribution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5" w:tblpY="0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2760"/>
        <w:gridCol w:w="4365"/>
        <w:tblGridChange w:id="0">
          <w:tblGrid>
            <w:gridCol w:w="2280"/>
            <w:gridCol w:w="2760"/>
            <w:gridCol w:w="4365"/>
          </w:tblGrid>
        </w:tblGridChange>
      </w:tblGrid>
      <w:tr>
        <w:trPr>
          <w:cantSplit w:val="0"/>
          <w:trHeight w:val="474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color w:val="f1f3f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1f3f4"/>
                <w:sz w:val="24"/>
                <w:szCs w:val="24"/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color w:val="f1f3f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1f3f4"/>
                <w:sz w:val="24"/>
                <w:szCs w:val="24"/>
                <w:rtl w:val="0"/>
              </w:rPr>
              <w:t xml:space="preserve">Number of Posts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color w:val="f1f3f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1f3f4"/>
                <w:sz w:val="24"/>
                <w:szCs w:val="24"/>
                <w:rtl w:val="0"/>
              </w:rPr>
              <w:t xml:space="preserve">Content Type</w:t>
            </w:r>
          </w:p>
        </w:tc>
      </w:tr>
      <w:tr>
        <w:trPr>
          <w:cantSplit w:val="0"/>
          <w:trHeight w:val="474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Facebook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posters, 2 video</w:t>
            </w:r>
          </w:p>
        </w:tc>
      </w:tr>
      <w:tr>
        <w:trPr>
          <w:cantSplit w:val="0"/>
          <w:trHeight w:val="474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Instagram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posters, 2 video</w:t>
            </w:r>
          </w:p>
        </w:tc>
      </w:tr>
      <w:tr>
        <w:trPr>
          <w:cantSplit w:val="0"/>
          <w:trHeight w:val="474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TikTok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video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 Engagement Analysis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00" w:before="200" w:line="360" w:lineRule="auto"/>
        <w:jc w:val="both"/>
        <w:rPr>
          <w:rFonts w:ascii="Lexend Deca" w:cs="Lexend Deca" w:eastAsia="Lexend Deca" w:hAnsi="Lexend Deca"/>
          <w:sz w:val="20"/>
          <w:szCs w:val="20"/>
        </w:rPr>
      </w:pPr>
      <w:bookmarkStart w:colFirst="0" w:colLast="0" w:name="_vxm9u77pf1i" w:id="0"/>
      <w:bookmarkEnd w:id="0"/>
      <w:r w:rsidDel="00000000" w:rsidR="00000000" w:rsidRPr="00000000">
        <w:rPr>
          <w:rtl w:val="0"/>
        </w:rPr>
      </w:r>
    </w:p>
    <w:tbl>
      <w:tblPr>
        <w:tblStyle w:val="Table3"/>
        <w:tblW w:w="6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680"/>
        <w:gridCol w:w="1650"/>
        <w:gridCol w:w="1890"/>
        <w:tblGridChange w:id="0">
          <w:tblGrid>
            <w:gridCol w:w="1560"/>
            <w:gridCol w:w="1680"/>
            <w:gridCol w:w="1650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Lexend Deca" w:cs="Lexend Deca" w:eastAsia="Lexend Deca" w:hAnsi="Lexend Deca"/>
                <w:b w:val="1"/>
                <w:color w:val="ffffff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ffffff"/>
                <w:rtl w:val="0"/>
              </w:rPr>
              <w:t xml:space="preserve">Platform </w:t>
            </w:r>
          </w:p>
        </w:tc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Lexend Deca" w:cs="Lexend Deca" w:eastAsia="Lexend Deca" w:hAnsi="Lexend Deca"/>
                <w:b w:val="1"/>
                <w:color w:val="ffffff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ffffff"/>
                <w:rtl w:val="0"/>
              </w:rPr>
              <w:t xml:space="preserve">Reach</w:t>
            </w:r>
          </w:p>
        </w:tc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Lexend Deca" w:cs="Lexend Deca" w:eastAsia="Lexend Deca" w:hAnsi="Lexend Deca"/>
                <w:b w:val="1"/>
                <w:color w:val="ffffff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ffffff"/>
                <w:rtl w:val="0"/>
              </w:rPr>
              <w:t xml:space="preserve">Engagement</w:t>
            </w:r>
          </w:p>
        </w:tc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Lexend Deca" w:cs="Lexend Deca" w:eastAsia="Lexend Deca" w:hAnsi="Lexend Deca"/>
                <w:b w:val="1"/>
                <w:color w:val="ffffff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ffffff"/>
                <w:rtl w:val="0"/>
              </w:rPr>
              <w:t xml:space="preserve">Link Click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Lexend Deca" w:cs="Lexend Deca" w:eastAsia="Lexend Deca" w:hAnsi="Lexend Deca"/>
                <w:b w:val="1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rtl w:val="0"/>
              </w:rPr>
              <w:t xml:space="preserve">Facebook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Lexend Deca" w:cs="Lexend Deca" w:eastAsia="Lexend Deca" w:hAnsi="Lexend Deca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rtl w:val="0"/>
              </w:rPr>
              <w:t xml:space="preserve">54.3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Lexend Deca" w:cs="Lexend Deca" w:eastAsia="Lexend Deca" w:hAnsi="Lexend Deca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rtl w:val="0"/>
              </w:rPr>
              <w:t xml:space="preserve">1.7K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Lexend Deca" w:cs="Lexend Deca" w:eastAsia="Lexend Deca" w:hAnsi="Lexend Deca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rtl w:val="0"/>
              </w:rPr>
              <w:t xml:space="preserve">180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Lexend Deca" w:cs="Lexend Deca" w:eastAsia="Lexend Deca" w:hAnsi="Lexend Deca"/>
                <w:b w:val="1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rtl w:val="0"/>
              </w:rPr>
              <w:t xml:space="preserve">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Lexend Deca" w:cs="Lexend Deca" w:eastAsia="Lexend Deca" w:hAnsi="Lexend Deca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rtl w:val="0"/>
              </w:rPr>
              <w:t xml:space="preserve">32.7k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Lexend Deca" w:cs="Lexend Deca" w:eastAsia="Lexend Deca" w:hAnsi="Lexend Deca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rtl w:val="0"/>
              </w:rPr>
              <w:t xml:space="preserve">368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Lexend Deca" w:cs="Lexend Deca" w:eastAsia="Lexend Deca" w:hAnsi="Lexend Deca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rtl w:val="0"/>
              </w:rPr>
              <w:t xml:space="preserve">716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Lexend Deca" w:cs="Lexend Deca" w:eastAsia="Lexend Deca" w:hAnsi="Lexend Deca"/>
                <w:b w:val="1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rtl w:val="0"/>
              </w:rPr>
              <w:t xml:space="preserve">TikTok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Lexend Deca" w:cs="Lexend Deca" w:eastAsia="Lexend Deca" w:hAnsi="Lexend Deca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rtl w:val="0"/>
              </w:rPr>
              <w:t xml:space="preserve">181,113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Lexend Deca" w:cs="Lexend Deca" w:eastAsia="Lexend Deca" w:hAnsi="Lexend Deca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rtl w:val="0"/>
              </w:rPr>
              <w:t xml:space="preserve">9825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Lexend Deca" w:cs="Lexend Deca" w:eastAsia="Lexend Deca" w:hAnsi="Lexend Deca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rtl w:val="0"/>
              </w:rPr>
              <w:t xml:space="preserve">….</w:t>
            </w:r>
          </w:p>
        </w:tc>
      </w:tr>
    </w:tbl>
    <w:p w:rsidR="00000000" w:rsidDel="00000000" w:rsidP="00000000" w:rsidRDefault="00000000" w:rsidRPr="00000000" w14:paraId="0000004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5. Promotion Budget </w:t>
      </w:r>
    </w:p>
    <w:p w:rsidR="00000000" w:rsidDel="00000000" w:rsidP="00000000" w:rsidRDefault="00000000" w:rsidRPr="00000000" w14:paraId="00000048">
      <w:pPr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1800"/>
        <w:gridCol w:w="2325"/>
        <w:gridCol w:w="2010"/>
        <w:gridCol w:w="1695"/>
        <w:tblGridChange w:id="0">
          <w:tblGrid>
            <w:gridCol w:w="1515"/>
            <w:gridCol w:w="1800"/>
            <w:gridCol w:w="2325"/>
            <w:gridCol w:w="2010"/>
            <w:gridCol w:w="1695"/>
          </w:tblGrid>
        </w:tblGridChange>
      </w:tblGrid>
      <w:tr>
        <w:trPr>
          <w:cantSplit w:val="0"/>
          <w:trHeight w:val="178.974609375" w:hRule="atLeast"/>
          <w:tblHeader w:val="0"/>
        </w:trPr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ffffff"/>
                <w:sz w:val="26"/>
                <w:szCs w:val="26"/>
                <w:rtl w:val="0"/>
              </w:rPr>
              <w:t xml:space="preserve">Platforms </w:t>
            </w:r>
          </w:p>
        </w:tc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ffffff"/>
                <w:sz w:val="26"/>
                <w:szCs w:val="26"/>
                <w:rtl w:val="0"/>
              </w:rPr>
              <w:t xml:space="preserve">Post Type</w:t>
            </w:r>
          </w:p>
        </w:tc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ffffff"/>
                <w:sz w:val="26"/>
                <w:szCs w:val="26"/>
                <w:rtl w:val="0"/>
              </w:rPr>
              <w:t xml:space="preserve">Promotion Kind</w:t>
            </w:r>
          </w:p>
        </w:tc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ffffff"/>
                <w:sz w:val="26"/>
                <w:szCs w:val="26"/>
                <w:rtl w:val="0"/>
              </w:rPr>
              <w:t xml:space="preserve">Days </w:t>
            </w:r>
          </w:p>
        </w:tc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ffffff"/>
                <w:sz w:val="26"/>
                <w:szCs w:val="26"/>
                <w:rtl w:val="0"/>
              </w:rPr>
              <w:t xml:space="preserve">Budget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Facebook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Page Like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8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$44.24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Get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5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$14.74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Graphic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Get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$7.95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Get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5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14.74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Dec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Deca-regular.ttf"/><Relationship Id="rId2" Type="http://schemas.openxmlformats.org/officeDocument/2006/relationships/font" Target="fonts/LexendDec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