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E79"/>
          <w:sz w:val="44"/>
        </w:rPr>
        <w:t>STRIDE: HIGH-LEVEL ENGINEERING CONCEPT DOCUMENT</w:t>
      </w:r>
    </w:p>
    <w:p>
      <w:pPr>
        <w:spacing w:before="0" w:after="360"/>
        <w:jc w:val="center"/>
      </w:pPr>
      <w:r>
        <w:rPr>
          <w:rFonts w:ascii="Calibri" w:hAnsi="Calibri"/>
          <w:i/>
          <w:color w:val="2E75B2"/>
          <w:sz w:val="26"/>
        </w:rPr>
        <w:t>A Layman's Guide to Building the Dual-Module AI/ML Training and Nutrition System</w:t>
        <w:br/>
        <w:t>From Final Scientific Proposal to Production Architecture</w:t>
      </w:r>
    </w:p>
    <w:tbl>
      <w:tblPr>
        <w:tblW w:type="auto" w:w="0"/>
        <w:jc w:val="center"/>
        <w:tblLayout w:type="fixed"/>
        <w:tblLook w:firstColumn="1" w:firstRow="1" w:lastColumn="0" w:lastRow="0" w:noHBand="0" w:noVBand="1" w:val="04A0"/>
      </w:tblPr>
      <w:tblGrid>
        <w:gridCol w:w="4680"/>
        <w:gridCol w:w="4680"/>
      </w:tblGrid>
      <w:tr>
        <w:tc>
          <w:tcPr>
            <w:tcW w:type="dxa" w:w="4680"/>
            <w:shd w:fill="F2F4F7" w:val="clear"/>
            <w:tcMar>
              <w:top w:w="80" w:type="dxa"/>
              <w:bottom w:w="80" w:type="dxa"/>
              <w:left w:w="120" w:type="dxa"/>
              <w:right w:w="120" w:type="dxa"/>
            </w:tcMar>
          </w:tcPr>
          <w:p>
            <w:r>
              <w:rPr>
                <w:b/>
              </w:rPr>
              <w:t xml:space="preserve">Product Name: </w:t>
            </w:r>
            <w:r>
              <w:t>Stride (Long-Distance Running Decision System)</w:t>
            </w:r>
          </w:p>
        </w:tc>
        <w:tc>
          <w:tcPr>
            <w:tcW w:type="dxa" w:w="4680"/>
            <w:shd w:fill="F2F4F7" w:val="clear"/>
            <w:tcMar>
              <w:top w:w="80" w:type="dxa"/>
              <w:bottom w:w="80" w:type="dxa"/>
              <w:left w:w="120" w:type="dxa"/>
              <w:right w:w="120" w:type="dxa"/>
            </w:tcMar>
          </w:tcPr>
          <w:p>
            <w:r>
              <w:rPr>
                <w:b/>
              </w:rPr>
              <w:t xml:space="preserve">Target Audience: </w:t>
            </w:r>
            <w:r>
              <w:t>Engineering &amp; Product Team</w:t>
            </w:r>
          </w:p>
        </w:tc>
      </w:tr>
      <w:tr>
        <w:tc>
          <w:tcPr>
            <w:tcW w:type="dxa" w:w="4680"/>
            <w:shd w:fill="F2F4F7" w:val="clear"/>
            <w:tcMar>
              <w:top w:w="80" w:type="dxa"/>
              <w:bottom w:w="80" w:type="dxa"/>
              <w:left w:w="120" w:type="dxa"/>
              <w:right w:w="120" w:type="dxa"/>
            </w:tcMar>
          </w:tcPr>
          <w:p>
            <w:r>
              <w:rPr>
                <w:b/>
              </w:rPr>
              <w:t xml:space="preserve">Source Specs: </w:t>
            </w:r>
            <w:r>
              <w:t>6-Page Proposal &amp; System Design Blueprint v1.0</w:t>
            </w:r>
          </w:p>
        </w:tc>
        <w:tc>
          <w:tcPr>
            <w:tcW w:type="dxa" w:w="4680"/>
            <w:shd w:fill="F2F4F7" w:val="clear"/>
            <w:tcMar>
              <w:top w:w="80" w:type="dxa"/>
              <w:bottom w:w="80" w:type="dxa"/>
              <w:left w:w="120" w:type="dxa"/>
              <w:right w:w="120" w:type="dxa"/>
            </w:tcMar>
          </w:tcPr>
          <w:p>
            <w:r>
              <w:rPr>
                <w:b/>
              </w:rPr>
              <w:t xml:space="preserve">Author &amp; Team: </w:t>
            </w:r>
            <w:r>
              <w:t>Team Kiboko | AI/ML Engineering Lead</w:t>
            </w:r>
          </w:p>
        </w:tc>
      </w:tr>
    </w:tbl>
    <w:p>
      <w:pPr>
        <w:spacing w:before="120" w:after="120"/>
      </w:pPr>
    </w:p>
    <w:p>
      <w:pPr>
        <w:pStyle w:val="Heading1"/>
        <w:keepNext/>
        <w:spacing w:before="280" w:after="120"/>
      </w:pPr>
      <w:r>
        <w:rPr>
          <w:rFonts w:ascii="Calibri" w:hAnsi="Calibri"/>
          <w:b/>
          <w:color w:val="1F4E79"/>
          <w:sz w:val="32"/>
        </w:rPr>
        <w:t>1. Executive Overview: What is Stride?</w:t>
      </w:r>
    </w:p>
    <w:p>
      <w:pPr>
        <w:spacing w:after="120" w:line="276" w:lineRule="auto"/>
      </w:pPr>
      <w:r>
        <w:rPr>
          <w:color w:val="262626"/>
        </w:rPr>
        <w:t xml:space="preserve">Welcome to the engineering concept guide for </w:t>
      </w:r>
      <w:r>
        <w:rPr>
          <w:b/>
        </w:rPr>
        <w:t>Stride</w:t>
      </w:r>
      <w:r>
        <w:t>. This document bridges the gap between our academic research proposal (which proved the mathematical and statistical viability of our algorithms) and our comprehensive System Design Blueprint (which defines the full production software architecture). As a software engineering team member, this guide will walk you through what we are building, why every component exists, how the data flows, and how to read the technical specs before writing code.</w:t>
      </w:r>
    </w:p>
    <w:tbl>
      <w:tblPr>
        <w:tblW w:type="auto" w:w="0"/>
        <w:jc w:val="center"/>
        <w:tblLayout w:type="fixed"/>
        <w:tblLook w:firstColumn="1" w:firstRow="1" w:lastColumn="0" w:lastRow="0" w:noHBand="0" w:noVBand="1" w:val="04A0"/>
      </w:tblPr>
      <w:tblGrid>
        <w:gridCol w:w="9360"/>
      </w:tblGrid>
      <w:tr>
        <w:tc>
          <w:tcPr>
            <w:tcW w:type="dxa" w:w="9360"/>
            <w:shd w:fill="F0F4F8" w:val="clear"/>
            <w:tcMar>
              <w:top w:w="140" w:type="dxa"/>
              <w:bottom w:w="140" w:type="dxa"/>
              <w:left w:w="200" w:type="dxa"/>
              <w:right w:w="200" w:type="dxa"/>
            </w:tcMar>
            <w:tcBorders>
              <w:left w:val="single" w:sz="24" w:space="0" w:color="1F4E79"/>
              <w:top w:val="none"/>
              <w:bottom w:val="none"/>
              <w:right w:val="none"/>
            </w:tcBorders>
          </w:tcPr>
          <w:p>
            <w:pPr>
              <w:spacing w:before="40" w:after="40"/>
            </w:pPr>
            <w:r>
              <w:rPr>
                <w:rFonts w:ascii="Calibri" w:hAnsi="Calibri"/>
                <w:b/>
                <w:color w:val="1F4E79"/>
                <w:sz w:val="20"/>
              </w:rPr>
              <w:t xml:space="preserve">THE ELEVATOR PITCH: </w:t>
            </w:r>
            <w:r>
              <w:rPr>
                <w:rFonts w:ascii="Calibri" w:hAnsi="Calibri"/>
                <w:color w:val="262626"/>
                <w:sz w:val="20"/>
              </w:rPr>
              <w:t>Stride is an intelligent web decision-support platform designed for professional and career-focused long-distance runners and their coaches. It combines machine learning performance prediction with physiological metabolic calculations into a coupled, 2-in-1 platform.</w:t>
            </w:r>
          </w:p>
        </w:tc>
      </w:tr>
    </w:tbl>
    <w:p>
      <w:pPr>
        <w:spacing w:before="0" w:after="120"/>
      </w:pPr>
    </w:p>
    <w:p>
      <w:pPr>
        <w:pStyle w:val="Heading1"/>
        <w:keepNext/>
        <w:spacing w:before="280" w:after="120"/>
      </w:pPr>
      <w:r>
        <w:rPr>
          <w:rFonts w:ascii="Calibri" w:hAnsi="Calibri"/>
          <w:b/>
          <w:color w:val="1F4E79"/>
          <w:sz w:val="32"/>
        </w:rPr>
        <w:t>2. The Core Problem &amp; Our 2-in-1 Solution</w:t>
      </w:r>
    </w:p>
    <w:p>
      <w:pPr>
        <w:spacing w:after="120" w:line="276" w:lineRule="auto"/>
      </w:pPr>
      <w:r>
        <w:t>Traditional fitness tools treat training plans and dietary nutrition as completely separate, static domains. Commercial platforms provide generic, population-averaged race predictions and broad nutrition advice (e.g., 'consume 30–90 grams of carbohydrates per hour'). These generic recommendations fail because they ignore individual physiological differences, fatigue rates, and the direct biological link between training workload and fueling requirements.</w:t>
      </w:r>
    </w:p>
    <w:p>
      <w:pPr>
        <w:spacing w:after="120" w:line="276" w:lineRule="auto"/>
      </w:pPr>
      <w:r>
        <w:rPr>
          <w:color w:val="262626"/>
        </w:rPr>
        <w:t xml:space="preserve">Stride solves this through a </w:t>
      </w:r>
      <w:r>
        <w:rPr>
          <w:b/>
        </w:rPr>
        <w:t>coupled dual-module platform</w:t>
      </w:r>
      <w:r>
        <w:t xml:space="preserve"> where prescribed physical training load directly dictates personalized, periodized nutrition targets:</w:t>
      </w:r>
    </w:p>
    <w:p>
      <w:pPr>
        <w:pStyle w:val="ListBullet"/>
        <w:spacing w:after="60"/>
      </w:pPr>
      <w:r>
        <w:rPr>
          <w:b/>
        </w:rPr>
        <w:t xml:space="preserve">Module 1 (Performance &amp; Training Engine / Task 1A): </w:t>
      </w:r>
      <w:r>
        <w:t>Predicts marathon finish time before the race using machine learning, and recommends safe training adaptations by retrieving similar historical runner profiles.</w:t>
      </w:r>
    </w:p>
    <w:p>
      <w:pPr>
        <w:pStyle w:val="ListBullet"/>
        <w:spacing w:after="120"/>
      </w:pPr>
      <w:r>
        <w:rPr>
          <w:b/>
        </w:rPr>
        <w:t xml:space="preserve">Module 2 (Personalised Sports Nutrition Advisor / Task 1B): </w:t>
      </w:r>
      <w:r>
        <w:t>Takes the prescribed workload from Module 1 and calculates exact pre-run, in-race, and post-run carbohydrate and fluid targets using validated physiological equations, guaranteeing that in-race intake never exceeds intestinal absorption limits (capped at 90 g/h).</w:t>
      </w:r>
    </w:p>
    <w:p>
      <w:pPr>
        <w:pStyle w:val="Heading1"/>
        <w:keepNext/>
        <w:spacing w:before="280" w:after="120"/>
      </w:pPr>
      <w:r>
        <w:rPr>
          <w:rFonts w:ascii="Calibri" w:hAnsi="Calibri"/>
          <w:b/>
          <w:color w:val="1F4E79"/>
          <w:sz w:val="32"/>
        </w:rPr>
        <w:t>3. High-Level System Architecture (How the Pieces Fit)</w:t>
      </w:r>
    </w:p>
    <w:p>
      <w:pPr>
        <w:spacing w:after="120" w:line="276" w:lineRule="auto"/>
      </w:pPr>
      <w:r>
        <w:rPr>
          <w:color w:val="262626"/>
        </w:rPr>
        <w:t xml:space="preserve">To build Stride efficiently without over-engineering, we adopt a </w:t>
      </w:r>
      <w:r>
        <w:rPr>
          <w:b/>
        </w:rPr>
        <w:t>Modular Monolith</w:t>
      </w:r>
      <w:r>
        <w:t xml:space="preserve"> architecture. This means the core backend runs as a single unified service, while the machine learning models operate in an isolated, stateless inference service. Here is how the system components connect:</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F4E79" w:val="clear"/>
            <w:tcMar>
              <w:top w:w="100" w:type="dxa"/>
              <w:bottom w:w="100" w:type="dxa"/>
              <w:left w:w="100" w:type="dxa"/>
              <w:right w:w="100" w:type="dxa"/>
            </w:tcMar>
          </w:tcPr>
          <w:p>
            <w:pPr>
              <w:jc w:val="left"/>
            </w:pPr>
            <w:r>
              <w:rPr>
                <w:rFonts w:ascii="Calibri" w:hAnsi="Calibri"/>
                <w:b/>
                <w:color w:val="FFFFFF"/>
                <w:sz w:val="20"/>
              </w:rPr>
              <w:t>System Layer</w:t>
            </w:r>
          </w:p>
        </w:tc>
        <w:tc>
          <w:tcPr>
            <w:tcW w:type="dxa" w:w="2592"/>
            <w:shd w:fill="1F4E79" w:val="clear"/>
            <w:tcMar>
              <w:top w:w="100" w:type="dxa"/>
              <w:bottom w:w="100" w:type="dxa"/>
              <w:left w:w="100" w:type="dxa"/>
              <w:right w:w="100" w:type="dxa"/>
            </w:tcMar>
          </w:tcPr>
          <w:p>
            <w:pPr>
              <w:jc w:val="left"/>
            </w:pPr>
            <w:r>
              <w:rPr>
                <w:rFonts w:ascii="Calibri" w:hAnsi="Calibri"/>
                <w:b/>
                <w:color w:val="FFFFFF"/>
                <w:sz w:val="20"/>
              </w:rPr>
              <w:t>Technology Choice</w:t>
            </w:r>
          </w:p>
        </w:tc>
        <w:tc>
          <w:tcPr>
            <w:tcW w:type="dxa" w:w="4608"/>
            <w:shd w:fill="1F4E79" w:val="clear"/>
            <w:tcMar>
              <w:top w:w="100" w:type="dxa"/>
              <w:bottom w:w="100" w:type="dxa"/>
              <w:left w:w="100" w:type="dxa"/>
              <w:right w:w="100" w:type="dxa"/>
            </w:tcMar>
          </w:tcPr>
          <w:p>
            <w:pPr>
              <w:jc w:val="left"/>
            </w:pPr>
            <w:r>
              <w:rPr>
                <w:rFonts w:ascii="Calibri" w:hAnsi="Calibri"/>
                <w:b/>
                <w:color w:val="FFFFFF"/>
                <w:sz w:val="20"/>
              </w:rPr>
              <w:t>What It Does (Layman Explanation)</w:t>
            </w:r>
          </w:p>
        </w:tc>
      </w:tr>
      <w:tr>
        <w:tc>
          <w:tcPr>
            <w:tcW w:type="dxa" w:w="2160"/>
            <w:shd w:fill="FFFFFF" w:val="clear"/>
            <w:tcMar>
              <w:top w:w="80" w:type="dxa"/>
              <w:bottom w:w="80" w:type="dxa"/>
              <w:left w:w="100" w:type="dxa"/>
              <w:right w:w="100" w:type="dxa"/>
            </w:tcMar>
          </w:tcPr>
          <w:p>
            <w:r>
              <w:rPr>
                <w:rFonts w:ascii="Calibri" w:hAnsi="Calibri"/>
                <w:b/>
                <w:color w:val="262626"/>
                <w:sz w:val="19"/>
              </w:rPr>
              <w:t>Frontend Web App</w:t>
            </w:r>
          </w:p>
        </w:tc>
        <w:tc>
          <w:tcPr>
            <w:tcW w:type="dxa" w:w="2592"/>
            <w:shd w:fill="FFFFFF" w:val="clear"/>
            <w:tcMar>
              <w:top w:w="80" w:type="dxa"/>
              <w:bottom w:w="80" w:type="dxa"/>
              <w:left w:w="100" w:type="dxa"/>
              <w:right w:w="100" w:type="dxa"/>
            </w:tcMar>
          </w:tcPr>
          <w:p>
            <w:r>
              <w:rPr>
                <w:rFonts w:ascii="Calibri" w:hAnsi="Calibri"/>
                <w:color w:val="262626"/>
                <w:sz w:val="19"/>
              </w:rPr>
              <w:t>Next.js PWA (Progressive Web App)</w:t>
            </w:r>
          </w:p>
        </w:tc>
        <w:tc>
          <w:tcPr>
            <w:tcW w:type="dxa" w:w="4608"/>
            <w:shd w:fill="FFFFFF" w:val="clear"/>
            <w:tcMar>
              <w:top w:w="80" w:type="dxa"/>
              <w:bottom w:w="80" w:type="dxa"/>
              <w:left w:w="100" w:type="dxa"/>
              <w:right w:w="100" w:type="dxa"/>
            </w:tcMar>
          </w:tcPr>
          <w:p>
            <w:r>
              <w:rPr>
                <w:rFonts w:ascii="Calibri" w:hAnsi="Calibri"/>
                <w:color w:val="262626"/>
                <w:sz w:val="19"/>
              </w:rPr>
              <w:t>Renders athlete and coach dashboards. Works offline on race day so athletes can view fueling plans without cell service.</w:t>
            </w:r>
          </w:p>
        </w:tc>
      </w:tr>
      <w:tr>
        <w:tc>
          <w:tcPr>
            <w:tcW w:type="dxa" w:w="2160"/>
            <w:shd w:fill="F2F4F7" w:val="clear"/>
            <w:tcMar>
              <w:top w:w="80" w:type="dxa"/>
              <w:bottom w:w="80" w:type="dxa"/>
              <w:left w:w="100" w:type="dxa"/>
              <w:right w:w="100" w:type="dxa"/>
            </w:tcMar>
          </w:tcPr>
          <w:p>
            <w:r>
              <w:rPr>
                <w:rFonts w:ascii="Calibri" w:hAnsi="Calibri"/>
                <w:b/>
                <w:color w:val="262626"/>
                <w:sz w:val="19"/>
              </w:rPr>
              <w:t>Core Backend API</w:t>
            </w:r>
          </w:p>
        </w:tc>
        <w:tc>
          <w:tcPr>
            <w:tcW w:type="dxa" w:w="2592"/>
            <w:shd w:fill="F2F4F7" w:val="clear"/>
            <w:tcMar>
              <w:top w:w="80" w:type="dxa"/>
              <w:bottom w:w="80" w:type="dxa"/>
              <w:left w:w="100" w:type="dxa"/>
              <w:right w:w="100" w:type="dxa"/>
            </w:tcMar>
          </w:tcPr>
          <w:p>
            <w:r>
              <w:rPr>
                <w:rFonts w:ascii="Calibri" w:hAnsi="Calibri"/>
                <w:color w:val="262626"/>
                <w:sz w:val="19"/>
              </w:rPr>
              <w:t>FastAPI (Python Modular Monolith)</w:t>
            </w:r>
          </w:p>
        </w:tc>
        <w:tc>
          <w:tcPr>
            <w:tcW w:type="dxa" w:w="4608"/>
            <w:shd w:fill="F2F4F7" w:val="clear"/>
            <w:tcMar>
              <w:top w:w="80" w:type="dxa"/>
              <w:bottom w:w="80" w:type="dxa"/>
              <w:left w:w="100" w:type="dxa"/>
              <w:right w:w="100" w:type="dxa"/>
            </w:tcMar>
          </w:tcPr>
          <w:p>
            <w:r>
              <w:rPr>
                <w:rFonts w:ascii="Calibri" w:hAnsi="Calibri"/>
                <w:color w:val="262626"/>
                <w:sz w:val="19"/>
              </w:rPr>
              <w:t>Handles user accounts, data uploads, security, coach permissions, and coordinates data flow between services.</w:t>
            </w:r>
          </w:p>
        </w:tc>
      </w:tr>
      <w:tr>
        <w:tc>
          <w:tcPr>
            <w:tcW w:type="dxa" w:w="2160"/>
            <w:shd w:fill="FFFFFF" w:val="clear"/>
            <w:tcMar>
              <w:top w:w="80" w:type="dxa"/>
              <w:bottom w:w="80" w:type="dxa"/>
              <w:left w:w="100" w:type="dxa"/>
              <w:right w:w="100" w:type="dxa"/>
            </w:tcMar>
          </w:tcPr>
          <w:p>
            <w:r>
              <w:rPr>
                <w:rFonts w:ascii="Calibri" w:hAnsi="Calibri"/>
                <w:b/>
                <w:color w:val="262626"/>
                <w:sz w:val="19"/>
              </w:rPr>
              <w:t>ML Inference Service</w:t>
            </w:r>
          </w:p>
        </w:tc>
        <w:tc>
          <w:tcPr>
            <w:tcW w:type="dxa" w:w="2592"/>
            <w:shd w:fill="FFFFFF" w:val="clear"/>
            <w:tcMar>
              <w:top w:w="80" w:type="dxa"/>
              <w:bottom w:w="80" w:type="dxa"/>
              <w:left w:w="100" w:type="dxa"/>
              <w:right w:w="100" w:type="dxa"/>
            </w:tcMar>
          </w:tcPr>
          <w:p>
            <w:r>
              <w:rPr>
                <w:rFonts w:ascii="Calibri" w:hAnsi="Calibri"/>
                <w:color w:val="262626"/>
                <w:sz w:val="19"/>
              </w:rPr>
              <w:t>Python (scikit-learn + FastAPI)</w:t>
            </w:r>
          </w:p>
        </w:tc>
        <w:tc>
          <w:tcPr>
            <w:tcW w:type="dxa" w:w="4608"/>
            <w:shd w:fill="FFFFFF" w:val="clear"/>
            <w:tcMar>
              <w:top w:w="80" w:type="dxa"/>
              <w:bottom w:w="80" w:type="dxa"/>
              <w:left w:w="100" w:type="dxa"/>
              <w:right w:w="100" w:type="dxa"/>
            </w:tcMar>
          </w:tcPr>
          <w:p>
            <w:r>
              <w:rPr>
                <w:rFonts w:ascii="Calibri" w:hAnsi="Calibri"/>
                <w:color w:val="262626"/>
                <w:sz w:val="19"/>
              </w:rPr>
              <w:t>Runs our trained AI models and math formulas in isolation. Receives input features and returns predictions in milliseconds.</w:t>
            </w:r>
          </w:p>
        </w:tc>
      </w:tr>
      <w:tr>
        <w:tc>
          <w:tcPr>
            <w:tcW w:type="dxa" w:w="2160"/>
            <w:shd w:fill="F2F4F7" w:val="clear"/>
            <w:tcMar>
              <w:top w:w="80" w:type="dxa"/>
              <w:bottom w:w="80" w:type="dxa"/>
              <w:left w:w="100" w:type="dxa"/>
              <w:right w:w="100" w:type="dxa"/>
            </w:tcMar>
          </w:tcPr>
          <w:p>
            <w:r>
              <w:rPr>
                <w:rFonts w:ascii="Calibri" w:hAnsi="Calibri"/>
                <w:b/>
                <w:color w:val="262626"/>
                <w:sz w:val="19"/>
              </w:rPr>
              <w:t>Database &amp; Storage</w:t>
            </w:r>
          </w:p>
        </w:tc>
        <w:tc>
          <w:tcPr>
            <w:tcW w:type="dxa" w:w="2592"/>
            <w:shd w:fill="F2F4F7" w:val="clear"/>
            <w:tcMar>
              <w:top w:w="80" w:type="dxa"/>
              <w:bottom w:w="80" w:type="dxa"/>
              <w:left w:w="100" w:type="dxa"/>
              <w:right w:w="100" w:type="dxa"/>
            </w:tcMar>
          </w:tcPr>
          <w:p>
            <w:r>
              <w:rPr>
                <w:rFonts w:ascii="Calibri" w:hAnsi="Calibri"/>
                <w:color w:val="262626"/>
                <w:sz w:val="19"/>
              </w:rPr>
              <w:t>PostgreSQL + Redis + Object Storage</w:t>
            </w:r>
          </w:p>
        </w:tc>
        <w:tc>
          <w:tcPr>
            <w:tcW w:type="dxa" w:w="4608"/>
            <w:shd w:fill="F2F4F7" w:val="clear"/>
            <w:tcMar>
              <w:top w:w="80" w:type="dxa"/>
              <w:bottom w:w="80" w:type="dxa"/>
              <w:left w:w="100" w:type="dxa"/>
              <w:right w:w="100" w:type="dxa"/>
            </w:tcMar>
          </w:tcPr>
          <w:p>
            <w:r>
              <w:rPr>
                <w:rFonts w:ascii="Calibri" w:hAnsi="Calibri"/>
                <w:color w:val="262626"/>
                <w:sz w:val="19"/>
              </w:rPr>
              <w:t>PostgreSQL stores user profiles and activity metrics; Redis manages caching and queues; Object Storage holds raw activity logs.</w:t>
            </w:r>
          </w:p>
        </w:tc>
      </w:tr>
      <w:tr>
        <w:tc>
          <w:tcPr>
            <w:tcW w:type="dxa" w:w="2160"/>
            <w:shd w:fill="FFFFFF" w:val="clear"/>
            <w:tcMar>
              <w:top w:w="80" w:type="dxa"/>
              <w:bottom w:w="80" w:type="dxa"/>
              <w:left w:w="100" w:type="dxa"/>
              <w:right w:w="100" w:type="dxa"/>
            </w:tcMar>
          </w:tcPr>
          <w:p>
            <w:r>
              <w:rPr>
                <w:rFonts w:ascii="Calibri" w:hAnsi="Calibri"/>
                <w:b/>
                <w:color w:val="262626"/>
                <w:sz w:val="19"/>
              </w:rPr>
              <w:t>External Connectors</w:t>
            </w:r>
          </w:p>
        </w:tc>
        <w:tc>
          <w:tcPr>
            <w:tcW w:type="dxa" w:w="2592"/>
            <w:shd w:fill="FFFFFF" w:val="clear"/>
            <w:tcMar>
              <w:top w:w="80" w:type="dxa"/>
              <w:bottom w:w="80" w:type="dxa"/>
              <w:left w:w="100" w:type="dxa"/>
              <w:right w:w="100" w:type="dxa"/>
            </w:tcMar>
          </w:tcPr>
          <w:p>
            <w:r>
              <w:rPr>
                <w:rFonts w:ascii="Calibri" w:hAnsi="Calibri"/>
                <w:color w:val="262626"/>
                <w:sz w:val="19"/>
              </w:rPr>
              <w:t>COROS / Polar / Weather APIs</w:t>
            </w:r>
          </w:p>
        </w:tc>
        <w:tc>
          <w:tcPr>
            <w:tcW w:type="dxa" w:w="4608"/>
            <w:shd w:fill="FFFFFF" w:val="clear"/>
            <w:tcMar>
              <w:top w:w="80" w:type="dxa"/>
              <w:bottom w:w="80" w:type="dxa"/>
              <w:left w:w="100" w:type="dxa"/>
              <w:right w:w="100" w:type="dxa"/>
            </w:tcMar>
          </w:tcPr>
          <w:p>
            <w:r>
              <w:rPr>
                <w:rFonts w:ascii="Calibri" w:hAnsi="Calibri"/>
                <w:color w:val="262626"/>
                <w:sz w:val="19"/>
              </w:rPr>
              <w:t>Syncs smartwatch data automatically (excluding Strava due to API terms) and fetches historical race weather.</w:t>
            </w:r>
          </w:p>
        </w:tc>
      </w:tr>
    </w:tbl>
    <w:p>
      <w:pPr>
        <w:spacing w:before="120"/>
      </w:pPr>
    </w:p>
    <w:p>
      <w:pPr>
        <w:pStyle w:val="Heading1"/>
        <w:keepNext/>
        <w:spacing w:before="280" w:after="120"/>
      </w:pPr>
      <w:r>
        <w:rPr>
          <w:rFonts w:ascii="Calibri" w:hAnsi="Calibri"/>
          <w:b/>
          <w:color w:val="1F4E79"/>
          <w:sz w:val="32"/>
        </w:rPr>
        <w:t>4. The Three Core Intelligence Engines</w:t>
      </w:r>
    </w:p>
    <w:p>
      <w:pPr>
        <w:spacing w:after="120" w:line="276" w:lineRule="auto"/>
      </w:pPr>
      <w:r>
        <w:t>Engineers must understand that Stride relies on three specialized algorithms inside the ML Inference Service:</w:t>
      </w:r>
    </w:p>
    <w:p>
      <w:pPr>
        <w:pStyle w:val="Heading2"/>
        <w:keepNext/>
        <w:spacing w:before="200" w:after="80"/>
      </w:pPr>
      <w:r>
        <w:rPr>
          <w:rFonts w:ascii="Calibri" w:hAnsi="Calibri"/>
          <w:b/>
          <w:color w:val="2E75B2"/>
          <w:sz w:val="26"/>
        </w:rPr>
        <w:t>Engine 1: Race Predictor (MLP Neural Network)</w:t>
      </w:r>
    </w:p>
    <w:p>
      <w:pPr>
        <w:spacing w:after="120" w:line="276" w:lineRule="auto"/>
      </w:pPr>
      <w:r>
        <w:rPr>
          <w:color w:val="262626"/>
        </w:rPr>
        <w:t xml:space="preserve">This engine predicts a runner's marathon finish time before the race begins. It uses a 2-layer </w:t>
      </w:r>
      <w:r>
        <w:rPr>
          <w:b/>
        </w:rPr>
        <w:t>Multi-Layer Perceptron (MLP)</w:t>
      </w:r>
      <w:r>
        <w:rPr>
          <w:color w:val="262626"/>
        </w:rPr>
        <w:t xml:space="preserve"> with 16 and 8 hidden units, trained on official race split data (37,250 runner records). Unlike simple linear rules that double a half-marathon split time (which causes an average error of 40.43 minutes), our MLP captures non-linear late-race slowing down, achieving an average error of </w:t>
      </w:r>
      <w:r>
        <w:rPr>
          <w:b/>
        </w:rPr>
        <w:t>14.21 minutes</w:t>
      </w:r>
      <w:r>
        <w:t xml:space="preserve"> on held-out test data.</w:t>
      </w:r>
    </w:p>
    <w:p>
      <w:pPr>
        <w:pStyle w:val="Heading2"/>
        <w:keepNext/>
        <w:spacing w:before="200" w:after="80"/>
      </w:pPr>
      <w:r>
        <w:rPr>
          <w:rFonts w:ascii="Calibri" w:hAnsi="Calibri"/>
          <w:b/>
          <w:color w:val="2E75B2"/>
          <w:sz w:val="26"/>
        </w:rPr>
        <w:t>Engine 2: Training Advisor ('Runners Like You' CBR Engine)</w:t>
      </w:r>
    </w:p>
    <w:p>
      <w:pPr>
        <w:spacing w:after="120" w:line="276" w:lineRule="auto"/>
      </w:pPr>
      <w:r>
        <w:rPr>
          <w:color w:val="262626"/>
        </w:rPr>
        <w:t xml:space="preserve">This engine powers our training recommendations using </w:t>
      </w:r>
      <w:r>
        <w:rPr>
          <w:b/>
        </w:rPr>
        <w:t>Case-Based Reasoning (CBR / k-Nearest Neighbors)</w:t>
      </w:r>
      <w:r>
        <w:t>. It matches an athlete's recent weekly training history (volume, long runs, training frequency) against a massive database of 10.7 million training activity logs from 36,412 runners. It finds historical runners who achieved the user's target finish time from a similar starting point and extracts safe training tweaks (enforcing a maximum weekly volume adjustment of &lt;= 10%).</w:t>
      </w:r>
    </w:p>
    <w:p>
      <w:pPr>
        <w:pStyle w:val="Heading2"/>
        <w:keepNext/>
        <w:spacing w:before="200" w:after="80"/>
      </w:pPr>
      <w:r>
        <w:rPr>
          <w:rFonts w:ascii="Calibri" w:hAnsi="Calibri"/>
          <w:b/>
          <w:color w:val="2E75B2"/>
          <w:sz w:val="26"/>
        </w:rPr>
        <w:t>Engine 3: Fuel Lab (Physiological Nutrition Engine)</w:t>
      </w:r>
    </w:p>
    <w:p>
      <w:pPr>
        <w:spacing w:after="120" w:line="276" w:lineRule="auto"/>
      </w:pPr>
      <w:r>
        <w:rPr>
          <w:color w:val="262626"/>
        </w:rPr>
        <w:t xml:space="preserve">Because fitness datasets do not track dietary logs, the Fuel Lab uses </w:t>
      </w:r>
      <w:r>
        <w:rPr>
          <w:b/>
        </w:rPr>
        <w:t>deterministic exercise physiology equations</w:t>
      </w:r>
      <w:r>
        <w:t xml:space="preserve"> (Margaria energy expenditure and Frayn indirect calorimetry) to calculate carbohydrate and fat oxidation rates based on running speed and body weight. It computes 3-phase periodized targets:</w:t>
      </w:r>
    </w:p>
    <w:p>
      <w:pPr>
        <w:pStyle w:val="ListBullet"/>
        <w:spacing w:after="40"/>
      </w:pPr>
      <w:r>
        <w:rPr>
          <w:b/>
        </w:rPr>
        <w:t xml:space="preserve">Pre-Run / Pre-Race: </w:t>
      </w:r>
      <w:r>
        <w:t>Periodized carbohydrate loading (7–10 g/kg/day prior to competition).</w:t>
      </w:r>
    </w:p>
    <w:p>
      <w:pPr>
        <w:pStyle w:val="ListBullet"/>
        <w:spacing w:after="40"/>
      </w:pPr>
      <w:r>
        <w:rPr>
          <w:b/>
        </w:rPr>
        <w:t xml:space="preserve">In-Race Fueling: </w:t>
      </w:r>
      <w:r>
        <w:t xml:space="preserve">Exogenous carbohydrate fueling rates (g/h). Crucially, the code enforces a </w:t>
      </w:r>
      <w:r>
        <w:rPr>
          <w:b/>
        </w:rPr>
        <w:t>hard safety cap of 90 g/h</w:t>
      </w:r>
      <w:r>
        <w:t xml:space="preserve"> based on SGLT1 (glucose) and GLUT5 (fructose) intestinal transporter saturation limits to prevent stomach distress.</w:t>
      </w:r>
    </w:p>
    <w:p>
      <w:pPr>
        <w:pStyle w:val="ListBullet"/>
        <w:spacing w:after="120"/>
      </w:pPr>
      <w:r>
        <w:rPr>
          <w:b/>
        </w:rPr>
        <w:t xml:space="preserve">Post-Run Recovery: </w:t>
      </w:r>
      <w:r>
        <w:t>Rapid muscle glycogen replenishment (1.0–1.2 g/kg/h) and protein synthesis intake (0.3 g/kg).</w:t>
      </w:r>
    </w:p>
    <w:p>
      <w:pPr>
        <w:pStyle w:val="Heading1"/>
        <w:keepNext/>
        <w:spacing w:before="280" w:after="120"/>
      </w:pPr>
      <w:r>
        <w:rPr>
          <w:rFonts w:ascii="Calibri" w:hAnsi="Calibri"/>
          <w:b/>
          <w:color w:val="1F4E79"/>
          <w:sz w:val="32"/>
        </w:rPr>
        <w:t>5. Key User Interfaces &amp; Core Product Features</w:t>
      </w:r>
    </w:p>
    <w:p>
      <w:pPr>
        <w:spacing w:after="120" w:line="276" w:lineRule="auto"/>
      </w:pPr>
      <w:r>
        <w:t>The frontend web app contains three distinct role-based views: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F4E79" w:val="clear"/>
            <w:tcMar>
              <w:top w:w="100" w:type="dxa"/>
              <w:bottom w:w="100" w:type="dxa"/>
              <w:left w:w="100" w:type="dxa"/>
              <w:right w:w="100" w:type="dxa"/>
            </w:tcMar>
          </w:tcPr>
          <w:p>
            <w:r>
              <w:rPr>
                <w:rFonts w:ascii="Calibri" w:hAnsi="Calibri"/>
                <w:b/>
                <w:color w:val="FFFFFF"/>
                <w:sz w:val="20"/>
              </w:rPr>
              <w:t>App View / Feature</w:t>
            </w:r>
          </w:p>
        </w:tc>
        <w:tc>
          <w:tcPr>
            <w:tcW w:type="dxa" w:w="2448"/>
            <w:shd w:fill="1F4E79" w:val="clear"/>
            <w:tcMar>
              <w:top w:w="100" w:type="dxa"/>
              <w:bottom w:w="100" w:type="dxa"/>
              <w:left w:w="100" w:type="dxa"/>
              <w:right w:w="100" w:type="dxa"/>
            </w:tcMar>
          </w:tcPr>
          <w:p>
            <w:r>
              <w:rPr>
                <w:rFonts w:ascii="Calibri" w:hAnsi="Calibri"/>
                <w:b/>
                <w:color w:val="FFFFFF"/>
                <w:sz w:val="20"/>
              </w:rPr>
              <w:t>Key UI Component</w:t>
            </w:r>
          </w:p>
        </w:tc>
        <w:tc>
          <w:tcPr>
            <w:tcW w:type="dxa" w:w="4320"/>
            <w:shd w:fill="1F4E79" w:val="clear"/>
            <w:tcMar>
              <w:top w:w="100" w:type="dxa"/>
              <w:bottom w:w="100" w:type="dxa"/>
              <w:left w:w="100" w:type="dxa"/>
              <w:right w:w="100" w:type="dxa"/>
            </w:tcMar>
          </w:tcPr>
          <w:p>
            <w:r>
              <w:rPr>
                <w:rFonts w:ascii="Calibri" w:hAnsi="Calibri"/>
                <w:b/>
                <w:color w:val="FFFFFF"/>
                <w:sz w:val="20"/>
              </w:rPr>
              <w:t>Engineering Purpose &amp; User Flow</w:t>
            </w:r>
          </w:p>
        </w:tc>
      </w:tr>
      <w:tr>
        <w:tc>
          <w:tcPr>
            <w:tcW w:type="dxa" w:w="2592"/>
            <w:shd w:fill="FFFFFF" w:val="clear"/>
            <w:tcMar>
              <w:top w:w="80" w:type="dxa"/>
              <w:bottom w:w="80" w:type="dxa"/>
              <w:left w:w="100" w:type="dxa"/>
              <w:right w:w="100" w:type="dxa"/>
            </w:tcMar>
          </w:tcPr>
          <w:p>
            <w:r>
              <w:rPr>
                <w:rFonts w:ascii="Calibri" w:hAnsi="Calibri"/>
                <w:b/>
                <w:color w:val="262626"/>
                <w:sz w:val="19"/>
              </w:rPr>
              <w:t>Landing Page</w:t>
            </w:r>
          </w:p>
        </w:tc>
        <w:tc>
          <w:tcPr>
            <w:tcW w:type="dxa" w:w="2448"/>
            <w:shd w:fill="FFFFFF" w:val="clear"/>
            <w:tcMar>
              <w:top w:w="80" w:type="dxa"/>
              <w:bottom w:w="80" w:type="dxa"/>
              <w:left w:w="100" w:type="dxa"/>
              <w:right w:w="100" w:type="dxa"/>
            </w:tcMar>
          </w:tcPr>
          <w:p>
            <w:r>
              <w:rPr>
                <w:rFonts w:ascii="Calibri" w:hAnsi="Calibri"/>
                <w:color w:val="262626"/>
                <w:sz w:val="19"/>
              </w:rPr>
              <w:t>Hero Split Board Widget</w:t>
            </w:r>
          </w:p>
        </w:tc>
        <w:tc>
          <w:tcPr>
            <w:tcW w:type="dxa" w:w="4320"/>
            <w:shd w:fill="FFFFFF" w:val="clear"/>
            <w:tcMar>
              <w:top w:w="80" w:type="dxa"/>
              <w:bottom w:w="80" w:type="dxa"/>
              <w:left w:w="100" w:type="dxa"/>
              <w:right w:w="100" w:type="dxa"/>
            </w:tcMar>
          </w:tcPr>
          <w:p>
            <w:r>
              <w:rPr>
                <w:rFonts w:ascii="Calibri" w:hAnsi="Calibri"/>
                <w:color w:val="262626"/>
                <w:sz w:val="19"/>
              </w:rPr>
              <w:t>Allows unauthenticated visitors to input a half-marathon split, age, and gender to instantly see a live marathon prediction.</w:t>
            </w:r>
          </w:p>
        </w:tc>
      </w:tr>
      <w:tr>
        <w:tc>
          <w:tcPr>
            <w:tcW w:type="dxa" w:w="2592"/>
            <w:shd w:fill="F2F4F7" w:val="clear"/>
            <w:tcMar>
              <w:top w:w="80" w:type="dxa"/>
              <w:bottom w:w="80" w:type="dxa"/>
              <w:left w:w="100" w:type="dxa"/>
              <w:right w:w="100" w:type="dxa"/>
            </w:tcMar>
          </w:tcPr>
          <w:p>
            <w:r>
              <w:rPr>
                <w:rFonts w:ascii="Calibri" w:hAnsi="Calibri"/>
                <w:b/>
                <w:color w:val="262626"/>
                <w:sz w:val="19"/>
              </w:rPr>
              <w:t>Athlete Today View</w:t>
            </w:r>
          </w:p>
        </w:tc>
        <w:tc>
          <w:tcPr>
            <w:tcW w:type="dxa" w:w="2448"/>
            <w:shd w:fill="F2F4F7" w:val="clear"/>
            <w:tcMar>
              <w:top w:w="80" w:type="dxa"/>
              <w:bottom w:w="80" w:type="dxa"/>
              <w:left w:w="100" w:type="dxa"/>
              <w:right w:w="100" w:type="dxa"/>
            </w:tcMar>
          </w:tcPr>
          <w:p>
            <w:r>
              <w:rPr>
                <w:rFonts w:ascii="Calibri" w:hAnsi="Calibri"/>
                <w:color w:val="262626"/>
                <w:sz w:val="19"/>
              </w:rPr>
              <w:t>Projection Tile &amp; Sparkline</w:t>
            </w:r>
          </w:p>
        </w:tc>
        <w:tc>
          <w:tcPr>
            <w:tcW w:type="dxa" w:w="4320"/>
            <w:shd w:fill="F2F4F7" w:val="clear"/>
            <w:tcMar>
              <w:top w:w="80" w:type="dxa"/>
              <w:bottom w:w="80" w:type="dxa"/>
              <w:left w:w="100" w:type="dxa"/>
              <w:right w:w="100" w:type="dxa"/>
            </w:tcMar>
          </w:tcPr>
          <w:p>
            <w:r>
              <w:rPr>
                <w:rFonts w:ascii="Calibri" w:hAnsi="Calibri"/>
                <w:color w:val="262626"/>
                <w:sz w:val="19"/>
              </w:rPr>
              <w:t>Displays the athlete's current predicted finish time, range, and weekly training volume summary at a glance.</w:t>
            </w:r>
          </w:p>
        </w:tc>
      </w:tr>
      <w:tr>
        <w:tc>
          <w:tcPr>
            <w:tcW w:type="dxa" w:w="2592"/>
            <w:shd w:fill="FFFFFF" w:val="clear"/>
            <w:tcMar>
              <w:top w:w="80" w:type="dxa"/>
              <w:bottom w:w="80" w:type="dxa"/>
              <w:left w:w="100" w:type="dxa"/>
              <w:right w:w="100" w:type="dxa"/>
            </w:tcMar>
          </w:tcPr>
          <w:p>
            <w:r>
              <w:rPr>
                <w:rFonts w:ascii="Calibri" w:hAnsi="Calibri"/>
                <w:b/>
                <w:color w:val="262626"/>
                <w:sz w:val="19"/>
              </w:rPr>
              <w:t>Athlete Train Panel</w:t>
            </w:r>
          </w:p>
        </w:tc>
        <w:tc>
          <w:tcPr>
            <w:tcW w:type="dxa" w:w="2448"/>
            <w:shd w:fill="FFFFFF" w:val="clear"/>
            <w:tcMar>
              <w:top w:w="80" w:type="dxa"/>
              <w:bottom w:w="80" w:type="dxa"/>
              <w:left w:w="100" w:type="dxa"/>
              <w:right w:w="100" w:type="dxa"/>
            </w:tcMar>
          </w:tcPr>
          <w:p>
            <w:r>
              <w:rPr>
                <w:rFonts w:ascii="Calibri" w:hAnsi="Calibri"/>
                <w:color w:val="262626"/>
                <w:sz w:val="19"/>
              </w:rPr>
              <w:t>Runners Like You &amp; What-If</w:t>
            </w:r>
          </w:p>
        </w:tc>
        <w:tc>
          <w:tcPr>
            <w:tcW w:type="dxa" w:w="4320"/>
            <w:shd w:fill="FFFFFF" w:val="clear"/>
            <w:tcMar>
              <w:top w:w="80" w:type="dxa"/>
              <w:bottom w:w="80" w:type="dxa"/>
              <w:left w:w="100" w:type="dxa"/>
              <w:right w:w="100" w:type="dxa"/>
            </w:tcMar>
          </w:tcPr>
          <w:p>
            <w:r>
              <w:rPr>
                <w:rFonts w:ascii="Calibri" w:hAnsi="Calibri"/>
                <w:color w:val="262626"/>
                <w:sz w:val="19"/>
              </w:rPr>
              <w:t>Shows similar historical runner cases and lets athletes adjust target goal deltas (within +/- 5%) to explore training tweaks.</w:t>
            </w:r>
          </w:p>
        </w:tc>
      </w:tr>
      <w:tr>
        <w:tc>
          <w:tcPr>
            <w:tcW w:type="dxa" w:w="2592"/>
            <w:shd w:fill="F2F4F7" w:val="clear"/>
            <w:tcMar>
              <w:top w:w="80" w:type="dxa"/>
              <w:bottom w:w="80" w:type="dxa"/>
              <w:left w:w="100" w:type="dxa"/>
              <w:right w:w="100" w:type="dxa"/>
            </w:tcMar>
          </w:tcPr>
          <w:p>
            <w:r>
              <w:rPr>
                <w:rFonts w:ascii="Calibri" w:hAnsi="Calibri"/>
                <w:b/>
                <w:color w:val="262626"/>
                <w:sz w:val="19"/>
              </w:rPr>
              <w:t>Athlete Fuel Lab</w:t>
            </w:r>
          </w:p>
        </w:tc>
        <w:tc>
          <w:tcPr>
            <w:tcW w:type="dxa" w:w="2448"/>
            <w:shd w:fill="F2F4F7" w:val="clear"/>
            <w:tcMar>
              <w:top w:w="80" w:type="dxa"/>
              <w:bottom w:w="80" w:type="dxa"/>
              <w:left w:w="100" w:type="dxa"/>
              <w:right w:w="100" w:type="dxa"/>
            </w:tcMar>
          </w:tcPr>
          <w:p>
            <w:r>
              <w:rPr>
                <w:rFonts w:ascii="Calibri" w:hAnsi="Calibri"/>
                <w:color w:val="262626"/>
                <w:sz w:val="19"/>
              </w:rPr>
              <w:t>In-Race Intake Slider</w:t>
            </w:r>
          </w:p>
        </w:tc>
        <w:tc>
          <w:tcPr>
            <w:tcW w:type="dxa" w:w="4320"/>
            <w:shd w:fill="F2F4F7" w:val="clear"/>
            <w:tcMar>
              <w:top w:w="80" w:type="dxa"/>
              <w:bottom w:w="80" w:type="dxa"/>
              <w:left w:w="100" w:type="dxa"/>
              <w:right w:w="100" w:type="dxa"/>
            </w:tcMar>
          </w:tcPr>
          <w:p>
            <w:r>
              <w:rPr>
                <w:rFonts w:ascii="Calibri" w:hAnsi="Calibri"/>
                <w:color w:val="262626"/>
                <w:sz w:val="19"/>
              </w:rPr>
              <w:t>Visualizes pre-, in-, and post-race nutrition plans. The intake slider physically locks at 90 g/h with an educational explainer.</w:t>
            </w:r>
          </w:p>
        </w:tc>
      </w:tr>
      <w:tr>
        <w:tc>
          <w:tcPr>
            <w:tcW w:type="dxa" w:w="2592"/>
            <w:shd w:fill="FFFFFF" w:val="clear"/>
            <w:tcMar>
              <w:top w:w="80" w:type="dxa"/>
              <w:bottom w:w="80" w:type="dxa"/>
              <w:left w:w="100" w:type="dxa"/>
              <w:right w:w="100" w:type="dxa"/>
            </w:tcMar>
          </w:tcPr>
          <w:p>
            <w:r>
              <w:rPr>
                <w:rFonts w:ascii="Calibri" w:hAnsi="Calibri"/>
                <w:b/>
                <w:color w:val="262626"/>
                <w:sz w:val="19"/>
              </w:rPr>
              <w:t>Race Ribbon</w:t>
            </w:r>
          </w:p>
        </w:tc>
        <w:tc>
          <w:tcPr>
            <w:tcW w:type="dxa" w:w="2448"/>
            <w:shd w:fill="FFFFFF" w:val="clear"/>
            <w:tcMar>
              <w:top w:w="80" w:type="dxa"/>
              <w:bottom w:w="80" w:type="dxa"/>
              <w:left w:w="100" w:type="dxa"/>
              <w:right w:w="100" w:type="dxa"/>
            </w:tcMar>
          </w:tcPr>
          <w:p>
            <w:r>
              <w:rPr>
                <w:rFonts w:ascii="Calibri" w:hAnsi="Calibri"/>
                <w:color w:val="262626"/>
                <w:sz w:val="19"/>
              </w:rPr>
              <w:t>Printable / Wristband Fuel Card</w:t>
            </w:r>
          </w:p>
        </w:tc>
        <w:tc>
          <w:tcPr>
            <w:tcW w:type="dxa" w:w="4320"/>
            <w:shd w:fill="FFFFFF" w:val="clear"/>
            <w:tcMar>
              <w:top w:w="80" w:type="dxa"/>
              <w:bottom w:w="80" w:type="dxa"/>
              <w:left w:w="100" w:type="dxa"/>
              <w:right w:w="100" w:type="dxa"/>
            </w:tcMar>
          </w:tcPr>
          <w:p>
            <w:r>
              <w:rPr>
                <w:rFonts w:ascii="Calibri" w:hAnsi="Calibri"/>
                <w:color w:val="262626"/>
                <w:sz w:val="19"/>
              </w:rPr>
              <w:t>Generates a clean, compact race plan showing mile-by-mile pacing and gel intake times that can be printed or viewed offline.</w:t>
            </w:r>
          </w:p>
        </w:tc>
      </w:tr>
      <w:tr>
        <w:tc>
          <w:tcPr>
            <w:tcW w:type="dxa" w:w="2592"/>
            <w:shd w:fill="F2F4F7" w:val="clear"/>
            <w:tcMar>
              <w:top w:w="80" w:type="dxa"/>
              <w:bottom w:w="80" w:type="dxa"/>
              <w:left w:w="100" w:type="dxa"/>
              <w:right w:w="100" w:type="dxa"/>
            </w:tcMar>
          </w:tcPr>
          <w:p>
            <w:r>
              <w:rPr>
                <w:rFonts w:ascii="Calibri" w:hAnsi="Calibri"/>
                <w:b/>
                <w:color w:val="262626"/>
                <w:sz w:val="19"/>
              </w:rPr>
              <w:t>Coach Workspace</w:t>
            </w:r>
          </w:p>
        </w:tc>
        <w:tc>
          <w:tcPr>
            <w:tcW w:type="dxa" w:w="2448"/>
            <w:shd w:fill="F2F4F7" w:val="clear"/>
            <w:tcMar>
              <w:top w:w="80" w:type="dxa"/>
              <w:bottom w:w="80" w:type="dxa"/>
              <w:left w:w="100" w:type="dxa"/>
              <w:right w:w="100" w:type="dxa"/>
            </w:tcMar>
          </w:tcPr>
          <w:p>
            <w:r>
              <w:rPr>
                <w:rFonts w:ascii="Calibri" w:hAnsi="Calibri"/>
                <w:color w:val="262626"/>
                <w:sz w:val="19"/>
              </w:rPr>
              <w:t>Review Queue &amp; Diff Viewer</w:t>
            </w:r>
          </w:p>
        </w:tc>
        <w:tc>
          <w:tcPr>
            <w:tcW w:type="dxa" w:w="4320"/>
            <w:shd w:fill="F2F4F7" w:val="clear"/>
            <w:tcMar>
              <w:top w:w="80" w:type="dxa"/>
              <w:bottom w:w="80" w:type="dxa"/>
              <w:left w:w="100" w:type="dxa"/>
              <w:right w:w="100" w:type="dxa"/>
            </w:tcMar>
          </w:tcPr>
          <w:p>
            <w:r>
              <w:rPr>
                <w:rFonts w:ascii="Calibri" w:hAnsi="Calibri"/>
                <w:color w:val="262626"/>
                <w:sz w:val="19"/>
              </w:rPr>
              <w:t>Allows coaches to monitor linked athletes, review AI-generated plan adaptations, edit values, and approve before release.</w:t>
            </w:r>
          </w:p>
        </w:tc>
      </w:tr>
    </w:tbl>
    <w:p>
      <w:pPr>
        <w:spacing w:before="120"/>
      </w:pPr>
    </w:p>
    <w:p>
      <w:pPr>
        <w:pStyle w:val="Heading1"/>
        <w:keepNext/>
        <w:spacing w:before="280" w:after="120"/>
      </w:pPr>
      <w:r>
        <w:rPr>
          <w:rFonts w:ascii="Calibri" w:hAnsi="Calibri"/>
          <w:b/>
          <w:color w:val="1F4E79"/>
          <w:sz w:val="32"/>
        </w:rPr>
        <w:t>6. Evidence Tagging &amp; Engineering Guardrails</w:t>
      </w:r>
    </w:p>
    <w:p>
      <w:pPr>
        <w:spacing w:after="120" w:line="276" w:lineRule="auto"/>
      </w:pPr>
      <w:r>
        <w:rPr>
          <w:color w:val="262626"/>
        </w:rPr>
        <w:t xml:space="preserve">To ensure absolute transparency and prevent misleading claims, every feature in Stride carries an </w:t>
      </w:r>
      <w:r>
        <w:rPr>
          <w:b/>
        </w:rPr>
        <w:t>Evidence Tag</w:t>
      </w:r>
      <w:r>
        <w:t xml:space="preserve"> in the UI and backend database. Engineers must include these tags in API responses:</w:t>
      </w:r>
    </w:p>
    <w:p>
      <w:pPr>
        <w:pStyle w:val="ListBullet"/>
        <w:spacing w:after="40"/>
      </w:pPr>
      <w:r>
        <w:rPr>
          <w:b/>
        </w:rPr>
        <w:t xml:space="preserve">[V] Validated Pilot: </w:t>
      </w:r>
      <w:r>
        <w:t>Features tested on real data with published error metrics (e.g., Marathon MLP Race Predictor: MAE 14.21 min).</w:t>
      </w:r>
    </w:p>
    <w:p>
      <w:pPr>
        <w:pStyle w:val="ListBullet"/>
        <w:spacing w:after="40"/>
      </w:pPr>
      <w:r>
        <w:rPr>
          <w:b/>
        </w:rPr>
        <w:t xml:space="preserve">[P] Planned: </w:t>
      </w:r>
      <w:r>
        <w:t>Features designed from theory but awaiting full dataset validation (e.g., CBR adaptations, Fuel Lab calculations).</w:t>
      </w:r>
    </w:p>
    <w:p>
      <w:pPr>
        <w:pStyle w:val="ListBullet"/>
        <w:spacing w:after="40"/>
      </w:pPr>
      <w:r>
        <w:rPr>
          <w:b/>
        </w:rPr>
        <w:t xml:space="preserve">[C] Context Analytics: </w:t>
      </w:r>
      <w:r>
        <w:t>Descriptive stats with no AI model involved (e.g., weekly mileage trends, resting HR).</w:t>
      </w:r>
    </w:p>
    <w:p>
      <w:pPr>
        <w:pStyle w:val="ListBullet"/>
        <w:spacing w:after="120"/>
      </w:pPr>
      <w:r>
        <w:rPr>
          <w:b/>
        </w:rPr>
        <w:t xml:space="preserve">[X] Extension Slots: </w:t>
      </w:r>
      <w:r>
        <w:t>Optional future features clearly separated from core scope (e.g., race weather overlays, device connectors).</w:t>
      </w:r>
    </w:p>
    <w:tbl>
      <w:tblPr>
        <w:tblW w:type="auto" w:w="0"/>
        <w:jc w:val="center"/>
        <w:tblLayout w:type="fixed"/>
        <w:tblLook w:firstColumn="1" w:firstRow="1" w:lastColumn="0" w:lastRow="0" w:noHBand="0" w:noVBand="1" w:val="04A0"/>
      </w:tblPr>
      <w:tblGrid>
        <w:gridCol w:w="9360"/>
      </w:tblGrid>
      <w:tr>
        <w:tc>
          <w:tcPr>
            <w:tcW w:type="dxa" w:w="9360"/>
            <w:shd w:fill="F0F4F8" w:val="clear"/>
            <w:tcMar>
              <w:top w:w="140" w:type="dxa"/>
              <w:bottom w:w="140" w:type="dxa"/>
              <w:left w:w="200" w:type="dxa"/>
              <w:right w:w="200" w:type="dxa"/>
            </w:tcMar>
            <w:tcBorders>
              <w:left w:val="single" w:sz="24" w:space="0" w:color="1F4E79"/>
              <w:top w:val="none"/>
              <w:bottom w:val="none"/>
              <w:right w:val="none"/>
            </w:tcBorders>
          </w:tcPr>
          <w:p>
            <w:pPr>
              <w:spacing w:before="40" w:after="40"/>
            </w:pPr>
            <w:r>
              <w:rPr>
                <w:rFonts w:ascii="Calibri" w:hAnsi="Calibri"/>
                <w:b/>
                <w:color w:val="1F4E79"/>
                <w:sz w:val="20"/>
              </w:rPr>
              <w:t xml:space="preserve">STRICT ENGINEERING GUARDRAILS: </w:t>
            </w:r>
            <w:r>
              <w:rPr>
                <w:rFonts w:ascii="Calibri" w:hAnsi="Calibri"/>
                <w:color w:val="262626"/>
                <w:sz w:val="20"/>
              </w:rPr>
              <w:t>1. NO Generative AI in Decision Paths: All recommendations use deterministic formulas or KNN retrieval.</w:t>
              <w:br/>
              <w:t>2. NO Strava Integration: Strava's API terms prohibit AI model training. We integrate with COROS and Polar instead.</w:t>
              <w:br/>
              <w:t>3. NO Medical Claims: Stride provides decision support, not clinical or injury diagnosis.</w:t>
              <w:br/>
              <w:t>4. Hard Intake Ceiling: Code must enforce min(CHO_deficit, 90 g/h) on all in-race carbohydrate recommendations.</w:t>
            </w:r>
          </w:p>
        </w:tc>
      </w:tr>
    </w:tbl>
    <w:p>
      <w:pPr>
        <w:spacing w:before="0" w:after="120"/>
      </w:pPr>
    </w:p>
    <w:p>
      <w:pPr>
        <w:pStyle w:val="Heading1"/>
        <w:keepNext/>
        <w:spacing w:before="280" w:after="120"/>
      </w:pPr>
      <w:r>
        <w:rPr>
          <w:rFonts w:ascii="Calibri" w:hAnsi="Calibri"/>
          <w:b/>
          <w:color w:val="1F4E79"/>
          <w:sz w:val="32"/>
        </w:rPr>
        <w:t>7. Step-by-Step Engineering Build Path</w:t>
      </w:r>
    </w:p>
    <w:p>
      <w:pPr>
        <w:spacing w:after="120" w:line="276" w:lineRule="auto"/>
      </w:pPr>
      <w:r>
        <w:t>When entering the System Design Blueprint v1.0, developers should follow this 3-phase release roadmap:</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F4E79" w:val="clear"/>
            <w:tcMar>
              <w:top w:w="100" w:type="dxa"/>
              <w:bottom w:w="100" w:type="dxa"/>
              <w:left w:w="100" w:type="dxa"/>
              <w:right w:w="100" w:type="dxa"/>
            </w:tcMar>
          </w:tcPr>
          <w:p>
            <w:r>
              <w:rPr>
                <w:rFonts w:ascii="Calibri" w:hAnsi="Calibri"/>
                <w:b/>
                <w:color w:val="FFFFFF"/>
                <w:sz w:val="20"/>
              </w:rPr>
              <w:t>Development Phase</w:t>
            </w:r>
          </w:p>
        </w:tc>
        <w:tc>
          <w:tcPr>
            <w:tcW w:type="dxa" w:w="2160"/>
            <w:shd w:fill="1F4E79" w:val="clear"/>
            <w:tcMar>
              <w:top w:w="100" w:type="dxa"/>
              <w:bottom w:w="100" w:type="dxa"/>
              <w:left w:w="100" w:type="dxa"/>
              <w:right w:w="100" w:type="dxa"/>
            </w:tcMar>
          </w:tcPr>
          <w:p>
            <w:r>
              <w:rPr>
                <w:rFonts w:ascii="Calibri" w:hAnsi="Calibri"/>
                <w:b/>
                <w:color w:val="FFFFFF"/>
                <w:sz w:val="20"/>
              </w:rPr>
              <w:t>Target Scope</w:t>
            </w:r>
          </w:p>
        </w:tc>
        <w:tc>
          <w:tcPr>
            <w:tcW w:type="dxa" w:w="5040"/>
            <w:shd w:fill="1F4E79" w:val="clear"/>
            <w:tcMar>
              <w:top w:w="100" w:type="dxa"/>
              <w:bottom w:w="100" w:type="dxa"/>
              <w:left w:w="100" w:type="dxa"/>
              <w:right w:w="100" w:type="dxa"/>
            </w:tcMar>
          </w:tcPr>
          <w:p>
            <w:r>
              <w:rPr>
                <w:rFonts w:ascii="Calibri" w:hAnsi="Calibri"/>
                <w:b/>
                <w:color w:val="FFFFFF"/>
                <w:sz w:val="20"/>
              </w:rPr>
              <w:t>Key Deliverables &amp; Engineering Focus</w:t>
            </w:r>
          </w:p>
        </w:tc>
      </w:tr>
      <w:tr>
        <w:tc>
          <w:tcPr>
            <w:tcW w:type="dxa" w:w="2160"/>
            <w:shd w:fill="FFFFFF" w:val="clear"/>
            <w:tcMar>
              <w:top w:w="80" w:type="dxa"/>
              <w:bottom w:w="80" w:type="dxa"/>
              <w:left w:w="100" w:type="dxa"/>
              <w:right w:w="100" w:type="dxa"/>
            </w:tcMar>
          </w:tcPr>
          <w:p>
            <w:r>
              <w:rPr>
                <w:rFonts w:ascii="Calibri" w:hAnsi="Calibri"/>
                <w:b/>
                <w:color w:val="262626"/>
                <w:sz w:val="19"/>
              </w:rPr>
              <w:t>Phase 1: MVP Foundation</w:t>
            </w:r>
          </w:p>
        </w:tc>
        <w:tc>
          <w:tcPr>
            <w:tcW w:type="dxa" w:w="2160"/>
            <w:shd w:fill="FFFFFF" w:val="clear"/>
            <w:tcMar>
              <w:top w:w="80" w:type="dxa"/>
              <w:bottom w:w="80" w:type="dxa"/>
              <w:left w:w="100" w:type="dxa"/>
              <w:right w:w="100" w:type="dxa"/>
            </w:tcMar>
          </w:tcPr>
          <w:p>
            <w:r>
              <w:rPr>
                <w:rFonts w:ascii="Calibri" w:hAnsi="Calibri"/>
                <w:color w:val="262626"/>
                <w:sz w:val="19"/>
              </w:rPr>
              <w:t>Core Infrastructure &amp; Race Predictor</w:t>
            </w:r>
          </w:p>
        </w:tc>
        <w:tc>
          <w:tcPr>
            <w:tcW w:type="dxa" w:w="5040"/>
            <w:shd w:fill="FFFFFF" w:val="clear"/>
            <w:tcMar>
              <w:top w:w="80" w:type="dxa"/>
              <w:bottom w:w="80" w:type="dxa"/>
              <w:left w:w="100" w:type="dxa"/>
              <w:right w:w="100" w:type="dxa"/>
            </w:tcMar>
          </w:tcPr>
          <w:p>
            <w:r>
              <w:rPr>
                <w:rFonts w:ascii="Calibri" w:hAnsi="Calibri"/>
                <w:color w:val="262626"/>
                <w:sz w:val="19"/>
              </w:rPr>
              <w:t>Set up Next.js PWA, FastAPI monolith, PostgreSQL database, authentication, file upload parser (FIT/GPX/CSV), and the validated MLP Race Predictor widget ([V]).</w:t>
            </w:r>
          </w:p>
        </w:tc>
      </w:tr>
      <w:tr>
        <w:tc>
          <w:tcPr>
            <w:tcW w:type="dxa" w:w="2160"/>
            <w:shd w:fill="F2F4F7" w:val="clear"/>
            <w:tcMar>
              <w:top w:w="80" w:type="dxa"/>
              <w:bottom w:w="80" w:type="dxa"/>
              <w:left w:w="100" w:type="dxa"/>
              <w:right w:w="100" w:type="dxa"/>
            </w:tcMar>
          </w:tcPr>
          <w:p>
            <w:r>
              <w:rPr>
                <w:rFonts w:ascii="Calibri" w:hAnsi="Calibri"/>
                <w:b/>
                <w:color w:val="262626"/>
                <w:sz w:val="19"/>
              </w:rPr>
              <w:t>Phase 2: v1 Core Platform</w:t>
            </w:r>
          </w:p>
        </w:tc>
        <w:tc>
          <w:tcPr>
            <w:tcW w:type="dxa" w:w="2160"/>
            <w:shd w:fill="F2F4F7" w:val="clear"/>
            <w:tcMar>
              <w:top w:w="80" w:type="dxa"/>
              <w:bottom w:w="80" w:type="dxa"/>
              <w:left w:w="100" w:type="dxa"/>
              <w:right w:w="100" w:type="dxa"/>
            </w:tcMar>
          </w:tcPr>
          <w:p>
            <w:r>
              <w:rPr>
                <w:rFonts w:ascii="Calibri" w:hAnsi="Calibri"/>
                <w:color w:val="262626"/>
                <w:sz w:val="19"/>
              </w:rPr>
              <w:t>Full Proposal Scope &amp; Coach Workflow</w:t>
            </w:r>
          </w:p>
        </w:tc>
        <w:tc>
          <w:tcPr>
            <w:tcW w:type="dxa" w:w="5040"/>
            <w:shd w:fill="F2F4F7" w:val="clear"/>
            <w:tcMar>
              <w:top w:w="80" w:type="dxa"/>
              <w:bottom w:w="80" w:type="dxa"/>
              <w:left w:w="100" w:type="dxa"/>
              <w:right w:w="100" w:type="dxa"/>
            </w:tcMar>
          </w:tcPr>
          <w:p>
            <w:r>
              <w:rPr>
                <w:rFonts w:ascii="Calibri" w:hAnsi="Calibri"/>
                <w:color w:val="262626"/>
                <w:sz w:val="19"/>
              </w:rPr>
              <w:t>Implement the CBR 'Runners Like You' engine ([P]), Fuel Lab 3-phase nutrition calculator ([P]), Race Ribbon exporter, coach review queue, and consent privacy controls.</w:t>
            </w:r>
          </w:p>
        </w:tc>
      </w:tr>
      <w:tr>
        <w:tc>
          <w:tcPr>
            <w:tcW w:type="dxa" w:w="2160"/>
            <w:shd w:fill="FFFFFF" w:val="clear"/>
            <w:tcMar>
              <w:top w:w="80" w:type="dxa"/>
              <w:bottom w:w="80" w:type="dxa"/>
              <w:left w:w="100" w:type="dxa"/>
              <w:right w:w="100" w:type="dxa"/>
            </w:tcMar>
          </w:tcPr>
          <w:p>
            <w:r>
              <w:rPr>
                <w:rFonts w:ascii="Calibri" w:hAnsi="Calibri"/>
                <w:b/>
                <w:color w:val="262626"/>
                <w:sz w:val="19"/>
              </w:rPr>
              <w:t>Phase 3: v1.5 Extensions</w:t>
            </w:r>
          </w:p>
        </w:tc>
        <w:tc>
          <w:tcPr>
            <w:tcW w:type="dxa" w:w="2160"/>
            <w:shd w:fill="FFFFFF" w:val="clear"/>
            <w:tcMar>
              <w:top w:w="80" w:type="dxa"/>
              <w:bottom w:w="80" w:type="dxa"/>
              <w:left w:w="100" w:type="dxa"/>
              <w:right w:w="100" w:type="dxa"/>
            </w:tcMar>
          </w:tcPr>
          <w:p>
            <w:r>
              <w:rPr>
                <w:rFonts w:ascii="Calibri" w:hAnsi="Calibri"/>
                <w:color w:val="262626"/>
                <w:sz w:val="19"/>
              </w:rPr>
              <w:t>Integrations &amp; Advanced Features</w:t>
            </w:r>
          </w:p>
        </w:tc>
        <w:tc>
          <w:tcPr>
            <w:tcW w:type="dxa" w:w="5040"/>
            <w:shd w:fill="FFFFFF" w:val="clear"/>
            <w:tcMar>
              <w:top w:w="80" w:type="dxa"/>
              <w:bottom w:w="80" w:type="dxa"/>
              <w:left w:w="100" w:type="dxa"/>
              <w:right w:w="100" w:type="dxa"/>
            </w:tcMar>
          </w:tcPr>
          <w:p>
            <w:r>
              <w:rPr>
                <w:rFonts w:ascii="Calibri" w:hAnsi="Calibri"/>
                <w:color w:val="262626"/>
                <w:sz w:val="19"/>
              </w:rPr>
              <w:t>Build COROS/Polar OAuth connectors ([X]), historical weather context panel, scenario side-by-side comparison, and post-run fueling logs.</w:t>
            </w:r>
          </w:p>
        </w:tc>
      </w:tr>
    </w:tbl>
    <w:p>
      <w:pPr>
        <w:spacing w:before="240"/>
      </w:pPr>
    </w:p>
    <w:p>
      <w:pPr>
        <w:spacing w:after="120" w:line="276" w:lineRule="auto"/>
      </w:pPr>
      <w:r>
        <w:rPr>
          <w:color w:val="262626"/>
        </w:rPr>
        <w:t xml:space="preserve">You are now ready to dive into </w:t>
      </w:r>
      <w:r>
        <w:rPr>
          <w:b/>
        </w:rPr>
        <w:t>System_Design_Blueprint - Google Docs.pdf</w:t>
      </w:r>
      <w:r>
        <w:t xml:space="preserve"> for the exact database schema definitions, REST API endpoint specifications, and step-by-step build instructions. Let's build Stride!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Team Kiboko | Stride Engineering Concept Document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Stride — High-Level Engineering Concept &amp; Product Architecture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