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C3395F">
      <w:bookmarkStart w:id="23" w:name="_GoBack"/>
      <w:r>
        <w:drawing>
          <wp:anchor distT="0" distB="0" distL="114300" distR="114300" simplePos="0" relativeHeight="251659264" behindDoc="1" locked="0" layoutInCell="1" allowOverlap="1">
            <wp:simplePos x="0" y="0"/>
            <wp:positionH relativeFrom="column">
              <wp:posOffset>-1417955</wp:posOffset>
            </wp:positionH>
            <wp:positionV relativeFrom="paragraph">
              <wp:posOffset>-1537970</wp:posOffset>
            </wp:positionV>
            <wp:extent cx="7934325" cy="11316335"/>
            <wp:effectExtent l="0" t="0" r="0" b="8890"/>
            <wp:wrapNone/>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6"/>
                    <a:stretch>
                      <a:fillRect/>
                    </a:stretch>
                  </pic:blipFill>
                  <pic:spPr>
                    <a:xfrm>
                      <a:off x="0" y="0"/>
                      <a:ext cx="7934325" cy="11316335"/>
                    </a:xfrm>
                    <a:prstGeom prst="rect">
                      <a:avLst/>
                    </a:prstGeom>
                    <a:noFill/>
                    <a:ln>
                      <a:noFill/>
                    </a:ln>
                  </pic:spPr>
                </pic:pic>
              </a:graphicData>
            </a:graphic>
          </wp:anchor>
        </w:drawing>
      </w:r>
      <w:bookmarkEnd w:id="23"/>
    </w:p>
    <w:p w14:paraId="559C37C6"/>
    <w:p w14:paraId="2D98E255">
      <w:pPr>
        <w:ind w:firstLine="1980" w:firstLineChars="550"/>
        <w:rPr>
          <w:rFonts w:hint="eastAsia" w:ascii="黑体" w:hAnsi="黑体" w:eastAsia="黑体"/>
          <w:sz w:val="36"/>
          <w:szCs w:val="36"/>
        </w:rPr>
      </w:pPr>
    </w:p>
    <w:p w14:paraId="74BBEAD9">
      <w:pPr>
        <w:pStyle w:val="2"/>
        <w:bidi w:val="0"/>
        <w:jc w:val="center"/>
        <w:rPr>
          <w:rFonts w:hint="eastAsia" w:ascii="仿宋" w:hAnsi="仿宋" w:eastAsia="仿宋"/>
        </w:rPr>
      </w:pPr>
      <w:r>
        <w:rPr>
          <w:rFonts w:hint="eastAsia" w:ascii="仿宋" w:hAnsi="仿宋" w:eastAsia="仿宋"/>
        </w:rPr>
        <w:br w:type="page"/>
      </w:r>
    </w:p>
    <w:p w14:paraId="146F70E9">
      <w:pPr>
        <w:spacing w:line="480" w:lineRule="auto"/>
        <w:ind w:firstLine="2520" w:firstLineChars="1050"/>
        <w:rPr>
          <w:rFonts w:hint="eastAsia" w:ascii="仿宋" w:hAnsi="仿宋" w:eastAsia="仿宋"/>
          <w:sz w:val="24"/>
        </w:rPr>
      </w:pPr>
    </w:p>
    <w:sdt>
      <w:sdtPr>
        <w:rPr>
          <w:rFonts w:ascii="宋体" w:hAnsi="宋体" w:eastAsia="宋体" w:cs="Times New Roman"/>
          <w:b/>
          <w:bCs/>
          <w:color w:val="auto"/>
          <w:kern w:val="2"/>
          <w:sz w:val="32"/>
          <w:szCs w:val="32"/>
          <w:lang w:val="en-US" w:eastAsia="zh-CN" w:bidi="ar-SA"/>
        </w:rPr>
        <w:id w:val="147466925"/>
        <w15:color w:val="DBDBDB"/>
        <w:docPartObj>
          <w:docPartGallery w:val="Table of Contents"/>
          <w:docPartUnique/>
        </w:docPartObj>
      </w:sdtPr>
      <w:sdtEndPr>
        <w:rPr>
          <w:rFonts w:ascii="宋体" w:hAnsi="宋体" w:eastAsia="宋体" w:cs="Times New Roman"/>
          <w:b/>
          <w:bCs/>
          <w:color w:val="auto"/>
          <w:kern w:val="2"/>
          <w:sz w:val="24"/>
          <w:szCs w:val="24"/>
          <w:lang w:val="en-US" w:eastAsia="zh-CN" w:bidi="ar-SA"/>
        </w:rPr>
      </w:sdtEndPr>
      <w:sdtContent>
        <w:p w14:paraId="07698D7C">
          <w:pPr>
            <w:spacing w:before="0" w:beforeLines="0" w:after="0" w:afterLines="0" w:line="240" w:lineRule="auto"/>
            <w:ind w:left="0" w:leftChars="0" w:right="0" w:rightChars="0" w:firstLine="0" w:firstLineChars="0"/>
            <w:jc w:val="center"/>
            <w:rPr>
              <w:b/>
              <w:bCs/>
              <w:sz w:val="32"/>
              <w:szCs w:val="32"/>
            </w:rPr>
          </w:pPr>
          <w:r>
            <w:rPr>
              <w:rFonts w:ascii="宋体" w:hAnsi="宋体" w:eastAsia="宋体"/>
              <w:b/>
              <w:bCs/>
              <w:sz w:val="32"/>
              <w:szCs w:val="32"/>
            </w:rPr>
            <w:t>目录</w:t>
          </w:r>
        </w:p>
        <w:p w14:paraId="6F496327">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TOC \o "1-3" \h \u </w:instrText>
          </w:r>
          <w:r>
            <w:rPr>
              <w:sz w:val="24"/>
              <w:szCs w:val="24"/>
            </w:rPr>
            <w:fldChar w:fldCharType="separate"/>
          </w:r>
          <w:r>
            <w:rPr>
              <w:sz w:val="24"/>
              <w:szCs w:val="24"/>
            </w:rPr>
            <w:fldChar w:fldCharType="begin"/>
          </w:r>
          <w:r>
            <w:rPr>
              <w:sz w:val="24"/>
              <w:szCs w:val="24"/>
            </w:rPr>
            <w:instrText xml:space="preserve"> HYPERLINK \l _Toc12092 </w:instrText>
          </w:r>
          <w:r>
            <w:rPr>
              <w:sz w:val="24"/>
              <w:szCs w:val="24"/>
            </w:rPr>
            <w:fldChar w:fldCharType="separate"/>
          </w:r>
          <w:r>
            <w:rPr>
              <w:rFonts w:hint="eastAsia" w:asciiTheme="minorEastAsia" w:hAnsiTheme="minorEastAsia" w:eastAsiaTheme="minorEastAsia" w:cstheme="minorEastAsia"/>
              <w:sz w:val="24"/>
              <w:szCs w:val="24"/>
            </w:rPr>
            <w:t>摘要</w:t>
          </w:r>
          <w:r>
            <w:rPr>
              <w:sz w:val="24"/>
              <w:szCs w:val="24"/>
            </w:rPr>
            <w:tab/>
          </w:r>
          <w:r>
            <w:rPr>
              <w:sz w:val="24"/>
              <w:szCs w:val="24"/>
            </w:rPr>
            <w:fldChar w:fldCharType="begin"/>
          </w:r>
          <w:r>
            <w:rPr>
              <w:sz w:val="24"/>
              <w:szCs w:val="24"/>
            </w:rPr>
            <w:instrText xml:space="preserve"> PAGEREF _Toc12092 \h </w:instrText>
          </w:r>
          <w:r>
            <w:rPr>
              <w:sz w:val="24"/>
              <w:szCs w:val="24"/>
            </w:rPr>
            <w:fldChar w:fldCharType="separate"/>
          </w:r>
          <w:r>
            <w:rPr>
              <w:sz w:val="24"/>
              <w:szCs w:val="24"/>
            </w:rPr>
            <w:t>1</w:t>
          </w:r>
          <w:r>
            <w:rPr>
              <w:sz w:val="24"/>
              <w:szCs w:val="24"/>
            </w:rPr>
            <w:fldChar w:fldCharType="end"/>
          </w:r>
          <w:r>
            <w:rPr>
              <w:sz w:val="24"/>
              <w:szCs w:val="24"/>
            </w:rPr>
            <w:fldChar w:fldCharType="end"/>
          </w:r>
        </w:p>
        <w:p w14:paraId="2757F65E">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_Toc22172 </w:instrText>
          </w:r>
          <w:r>
            <w:rPr>
              <w:sz w:val="24"/>
              <w:szCs w:val="24"/>
            </w:rPr>
            <w:fldChar w:fldCharType="separate"/>
          </w:r>
          <w:r>
            <w:rPr>
              <w:rFonts w:hint="eastAsia" w:asciiTheme="minorEastAsia" w:hAnsiTheme="minorEastAsia" w:eastAsiaTheme="minorEastAsia" w:cstheme="minorEastAsia"/>
              <w:sz w:val="24"/>
              <w:szCs w:val="24"/>
            </w:rPr>
            <w:t>一、 引言：游戏作为文化传播新媒介</w:t>
          </w:r>
          <w:r>
            <w:rPr>
              <w:sz w:val="24"/>
              <w:szCs w:val="24"/>
            </w:rPr>
            <w:tab/>
          </w:r>
          <w:r>
            <w:rPr>
              <w:sz w:val="24"/>
              <w:szCs w:val="24"/>
            </w:rPr>
            <w:fldChar w:fldCharType="begin"/>
          </w:r>
          <w:r>
            <w:rPr>
              <w:sz w:val="24"/>
              <w:szCs w:val="24"/>
            </w:rPr>
            <w:instrText xml:space="preserve"> PAGEREF _Toc22172 \h </w:instrText>
          </w:r>
          <w:r>
            <w:rPr>
              <w:sz w:val="24"/>
              <w:szCs w:val="24"/>
            </w:rPr>
            <w:fldChar w:fldCharType="separate"/>
          </w:r>
          <w:r>
            <w:rPr>
              <w:sz w:val="24"/>
              <w:szCs w:val="24"/>
            </w:rPr>
            <w:t>2</w:t>
          </w:r>
          <w:r>
            <w:rPr>
              <w:sz w:val="24"/>
              <w:szCs w:val="24"/>
            </w:rPr>
            <w:fldChar w:fldCharType="end"/>
          </w:r>
          <w:r>
            <w:rPr>
              <w:sz w:val="24"/>
              <w:szCs w:val="24"/>
            </w:rPr>
            <w:fldChar w:fldCharType="end"/>
          </w:r>
        </w:p>
        <w:p w14:paraId="2F839B40">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_Toc3071 </w:instrText>
          </w:r>
          <w:r>
            <w:rPr>
              <w:sz w:val="24"/>
              <w:szCs w:val="24"/>
            </w:rPr>
            <w:fldChar w:fldCharType="separate"/>
          </w:r>
          <w:r>
            <w:rPr>
              <w:rFonts w:hint="eastAsia" w:asciiTheme="minorEastAsia" w:hAnsiTheme="minorEastAsia" w:eastAsiaTheme="minorEastAsia" w:cstheme="minorEastAsia"/>
              <w:sz w:val="24"/>
              <w:szCs w:val="24"/>
            </w:rPr>
            <w:t>二、 文献综述：数字时代的文化传播理论</w:t>
          </w:r>
          <w:r>
            <w:rPr>
              <w:sz w:val="24"/>
              <w:szCs w:val="24"/>
            </w:rPr>
            <w:tab/>
          </w:r>
          <w:r>
            <w:rPr>
              <w:sz w:val="24"/>
              <w:szCs w:val="24"/>
            </w:rPr>
            <w:fldChar w:fldCharType="begin"/>
          </w:r>
          <w:r>
            <w:rPr>
              <w:sz w:val="24"/>
              <w:szCs w:val="24"/>
            </w:rPr>
            <w:instrText xml:space="preserve"> PAGEREF _Toc3071 \h </w:instrText>
          </w:r>
          <w:r>
            <w:rPr>
              <w:sz w:val="24"/>
              <w:szCs w:val="24"/>
            </w:rPr>
            <w:fldChar w:fldCharType="separate"/>
          </w:r>
          <w:r>
            <w:rPr>
              <w:sz w:val="24"/>
              <w:szCs w:val="24"/>
            </w:rPr>
            <w:t>3</w:t>
          </w:r>
          <w:r>
            <w:rPr>
              <w:sz w:val="24"/>
              <w:szCs w:val="24"/>
            </w:rPr>
            <w:fldChar w:fldCharType="end"/>
          </w:r>
          <w:r>
            <w:rPr>
              <w:sz w:val="24"/>
              <w:szCs w:val="24"/>
            </w:rPr>
            <w:fldChar w:fldCharType="end"/>
          </w:r>
        </w:p>
        <w:p w14:paraId="0BA3035B">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_Toc23677 </w:instrText>
          </w:r>
          <w:r>
            <w:rPr>
              <w:sz w:val="24"/>
              <w:szCs w:val="24"/>
            </w:rPr>
            <w:fldChar w:fldCharType="separate"/>
          </w:r>
          <w:r>
            <w:rPr>
              <w:rFonts w:hint="eastAsia"/>
              <w:sz w:val="24"/>
              <w:szCs w:val="24"/>
            </w:rPr>
            <w:t>2.1 文化传播的数字化转向与媒介演进</w:t>
          </w:r>
          <w:r>
            <w:rPr>
              <w:sz w:val="24"/>
              <w:szCs w:val="24"/>
            </w:rPr>
            <w:tab/>
          </w:r>
          <w:r>
            <w:rPr>
              <w:sz w:val="24"/>
              <w:szCs w:val="24"/>
            </w:rPr>
            <w:fldChar w:fldCharType="begin"/>
          </w:r>
          <w:r>
            <w:rPr>
              <w:sz w:val="24"/>
              <w:szCs w:val="24"/>
            </w:rPr>
            <w:instrText xml:space="preserve"> PAGEREF _Toc23677 \h </w:instrText>
          </w:r>
          <w:r>
            <w:rPr>
              <w:sz w:val="24"/>
              <w:szCs w:val="24"/>
            </w:rPr>
            <w:fldChar w:fldCharType="separate"/>
          </w:r>
          <w:r>
            <w:rPr>
              <w:sz w:val="24"/>
              <w:szCs w:val="24"/>
            </w:rPr>
            <w:t>3</w:t>
          </w:r>
          <w:r>
            <w:rPr>
              <w:sz w:val="24"/>
              <w:szCs w:val="24"/>
            </w:rPr>
            <w:fldChar w:fldCharType="end"/>
          </w:r>
          <w:r>
            <w:rPr>
              <w:sz w:val="24"/>
              <w:szCs w:val="24"/>
            </w:rPr>
            <w:fldChar w:fldCharType="end"/>
          </w:r>
        </w:p>
        <w:p w14:paraId="4F459221">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_Toc32638 </w:instrText>
          </w:r>
          <w:r>
            <w:rPr>
              <w:sz w:val="24"/>
              <w:szCs w:val="24"/>
            </w:rPr>
            <w:fldChar w:fldCharType="separate"/>
          </w:r>
          <w:r>
            <w:rPr>
              <w:rFonts w:hint="eastAsia" w:asciiTheme="minorEastAsia" w:hAnsiTheme="minorEastAsia" w:eastAsiaTheme="minorEastAsia" w:cstheme="minorEastAsia"/>
              <w:sz w:val="24"/>
              <w:szCs w:val="24"/>
            </w:rPr>
            <w:t>2.2 游戏作为文化传播的“活化”媒介</w:t>
          </w:r>
          <w:r>
            <w:rPr>
              <w:sz w:val="24"/>
              <w:szCs w:val="24"/>
            </w:rPr>
            <w:tab/>
          </w:r>
          <w:r>
            <w:rPr>
              <w:sz w:val="24"/>
              <w:szCs w:val="24"/>
            </w:rPr>
            <w:fldChar w:fldCharType="begin"/>
          </w:r>
          <w:r>
            <w:rPr>
              <w:sz w:val="24"/>
              <w:szCs w:val="24"/>
            </w:rPr>
            <w:instrText xml:space="preserve"> PAGEREF _Toc32638 \h </w:instrText>
          </w:r>
          <w:r>
            <w:rPr>
              <w:sz w:val="24"/>
              <w:szCs w:val="24"/>
            </w:rPr>
            <w:fldChar w:fldCharType="separate"/>
          </w:r>
          <w:r>
            <w:rPr>
              <w:sz w:val="24"/>
              <w:szCs w:val="24"/>
            </w:rPr>
            <w:t>3</w:t>
          </w:r>
          <w:r>
            <w:rPr>
              <w:sz w:val="24"/>
              <w:szCs w:val="24"/>
            </w:rPr>
            <w:fldChar w:fldCharType="end"/>
          </w:r>
          <w:r>
            <w:rPr>
              <w:sz w:val="24"/>
              <w:szCs w:val="24"/>
            </w:rPr>
            <w:fldChar w:fldCharType="end"/>
          </w:r>
        </w:p>
        <w:p w14:paraId="5A4BD1BF">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_Toc26041 </w:instrText>
          </w:r>
          <w:r>
            <w:rPr>
              <w:sz w:val="24"/>
              <w:szCs w:val="24"/>
            </w:rPr>
            <w:fldChar w:fldCharType="separate"/>
          </w:r>
          <w:r>
            <w:rPr>
              <w:rFonts w:hint="eastAsia" w:asciiTheme="minorEastAsia" w:hAnsiTheme="minorEastAsia" w:eastAsiaTheme="minorEastAsia" w:cstheme="minorEastAsia"/>
              <w:sz w:val="24"/>
              <w:szCs w:val="24"/>
            </w:rPr>
            <w:t>2.3 传播效果的测量：从情感分析到行为意向</w:t>
          </w:r>
          <w:r>
            <w:rPr>
              <w:sz w:val="24"/>
              <w:szCs w:val="24"/>
            </w:rPr>
            <w:tab/>
          </w:r>
          <w:r>
            <w:rPr>
              <w:sz w:val="24"/>
              <w:szCs w:val="24"/>
            </w:rPr>
            <w:fldChar w:fldCharType="begin"/>
          </w:r>
          <w:r>
            <w:rPr>
              <w:sz w:val="24"/>
              <w:szCs w:val="24"/>
            </w:rPr>
            <w:instrText xml:space="preserve"> PAGEREF _Toc26041 \h </w:instrText>
          </w:r>
          <w:r>
            <w:rPr>
              <w:sz w:val="24"/>
              <w:szCs w:val="24"/>
            </w:rPr>
            <w:fldChar w:fldCharType="separate"/>
          </w:r>
          <w:r>
            <w:rPr>
              <w:sz w:val="24"/>
              <w:szCs w:val="24"/>
            </w:rPr>
            <w:t>4</w:t>
          </w:r>
          <w:r>
            <w:rPr>
              <w:sz w:val="24"/>
              <w:szCs w:val="24"/>
            </w:rPr>
            <w:fldChar w:fldCharType="end"/>
          </w:r>
          <w:r>
            <w:rPr>
              <w:sz w:val="24"/>
              <w:szCs w:val="24"/>
            </w:rPr>
            <w:fldChar w:fldCharType="end"/>
          </w:r>
        </w:p>
        <w:p w14:paraId="7E4790FB">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_Toc24383 </w:instrText>
          </w:r>
          <w:r>
            <w:rPr>
              <w:sz w:val="24"/>
              <w:szCs w:val="24"/>
            </w:rPr>
            <w:fldChar w:fldCharType="separate"/>
          </w:r>
          <w:r>
            <w:rPr>
              <w:rFonts w:hint="eastAsia" w:asciiTheme="minorEastAsia" w:hAnsiTheme="minorEastAsia" w:eastAsiaTheme="minorEastAsia" w:cstheme="minorEastAsia"/>
              <w:sz w:val="24"/>
              <w:szCs w:val="24"/>
            </w:rPr>
            <w:t>2.4 传播主体与社群互动的影响</w:t>
          </w:r>
          <w:r>
            <w:rPr>
              <w:sz w:val="24"/>
              <w:szCs w:val="24"/>
            </w:rPr>
            <w:tab/>
          </w:r>
          <w:r>
            <w:rPr>
              <w:sz w:val="24"/>
              <w:szCs w:val="24"/>
            </w:rPr>
            <w:fldChar w:fldCharType="begin"/>
          </w:r>
          <w:r>
            <w:rPr>
              <w:sz w:val="24"/>
              <w:szCs w:val="24"/>
            </w:rPr>
            <w:instrText xml:space="preserve"> PAGEREF _Toc24383 \h </w:instrText>
          </w:r>
          <w:r>
            <w:rPr>
              <w:sz w:val="24"/>
              <w:szCs w:val="24"/>
            </w:rPr>
            <w:fldChar w:fldCharType="separate"/>
          </w:r>
          <w:r>
            <w:rPr>
              <w:sz w:val="24"/>
              <w:szCs w:val="24"/>
            </w:rPr>
            <w:t>4</w:t>
          </w:r>
          <w:r>
            <w:rPr>
              <w:sz w:val="24"/>
              <w:szCs w:val="24"/>
            </w:rPr>
            <w:fldChar w:fldCharType="end"/>
          </w:r>
          <w:r>
            <w:rPr>
              <w:sz w:val="24"/>
              <w:szCs w:val="24"/>
            </w:rPr>
            <w:fldChar w:fldCharType="end"/>
          </w:r>
        </w:p>
        <w:p w14:paraId="293BA109">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_Toc24634 </w:instrText>
          </w:r>
          <w:r>
            <w:rPr>
              <w:sz w:val="24"/>
              <w:szCs w:val="24"/>
            </w:rPr>
            <w:fldChar w:fldCharType="separate"/>
          </w:r>
          <w:r>
            <w:rPr>
              <w:rFonts w:hint="eastAsia" w:asciiTheme="minorEastAsia" w:hAnsiTheme="minorEastAsia" w:eastAsiaTheme="minorEastAsia" w:cstheme="minorEastAsia"/>
              <w:sz w:val="24"/>
              <w:szCs w:val="24"/>
            </w:rPr>
            <w:t>2.5 研究空白与本研究的定位</w:t>
          </w:r>
          <w:r>
            <w:rPr>
              <w:sz w:val="24"/>
              <w:szCs w:val="24"/>
            </w:rPr>
            <w:tab/>
          </w:r>
          <w:r>
            <w:rPr>
              <w:sz w:val="24"/>
              <w:szCs w:val="24"/>
            </w:rPr>
            <w:fldChar w:fldCharType="begin"/>
          </w:r>
          <w:r>
            <w:rPr>
              <w:sz w:val="24"/>
              <w:szCs w:val="24"/>
            </w:rPr>
            <w:instrText xml:space="preserve"> PAGEREF _Toc24634 \h </w:instrText>
          </w:r>
          <w:r>
            <w:rPr>
              <w:sz w:val="24"/>
              <w:szCs w:val="24"/>
            </w:rPr>
            <w:fldChar w:fldCharType="separate"/>
          </w:r>
          <w:r>
            <w:rPr>
              <w:sz w:val="24"/>
              <w:szCs w:val="24"/>
            </w:rPr>
            <w:t>4</w:t>
          </w:r>
          <w:r>
            <w:rPr>
              <w:sz w:val="24"/>
              <w:szCs w:val="24"/>
            </w:rPr>
            <w:fldChar w:fldCharType="end"/>
          </w:r>
          <w:r>
            <w:rPr>
              <w:sz w:val="24"/>
              <w:szCs w:val="24"/>
            </w:rPr>
            <w:fldChar w:fldCharType="end"/>
          </w:r>
        </w:p>
        <w:p w14:paraId="08985794">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_Toc32277 </w:instrText>
          </w:r>
          <w:r>
            <w:rPr>
              <w:sz w:val="24"/>
              <w:szCs w:val="24"/>
            </w:rPr>
            <w:fldChar w:fldCharType="separate"/>
          </w:r>
          <w:r>
            <w:rPr>
              <w:rFonts w:hint="eastAsia" w:asciiTheme="minorEastAsia" w:hAnsiTheme="minorEastAsia" w:eastAsiaTheme="minorEastAsia" w:cstheme="minorEastAsia"/>
              <w:sz w:val="24"/>
              <w:szCs w:val="24"/>
            </w:rPr>
            <w:t>三、 研究方法：四维分析框架与数据来源</w:t>
          </w:r>
          <w:r>
            <w:rPr>
              <w:sz w:val="24"/>
              <w:szCs w:val="24"/>
            </w:rPr>
            <w:tab/>
          </w:r>
          <w:r>
            <w:rPr>
              <w:sz w:val="24"/>
              <w:szCs w:val="24"/>
            </w:rPr>
            <w:fldChar w:fldCharType="begin"/>
          </w:r>
          <w:r>
            <w:rPr>
              <w:sz w:val="24"/>
              <w:szCs w:val="24"/>
            </w:rPr>
            <w:instrText xml:space="preserve"> PAGEREF _Toc32277 \h </w:instrText>
          </w:r>
          <w:r>
            <w:rPr>
              <w:sz w:val="24"/>
              <w:szCs w:val="24"/>
            </w:rPr>
            <w:fldChar w:fldCharType="separate"/>
          </w:r>
          <w:r>
            <w:rPr>
              <w:sz w:val="24"/>
              <w:szCs w:val="24"/>
            </w:rPr>
            <w:t>5</w:t>
          </w:r>
          <w:r>
            <w:rPr>
              <w:sz w:val="24"/>
              <w:szCs w:val="24"/>
            </w:rPr>
            <w:fldChar w:fldCharType="end"/>
          </w:r>
          <w:r>
            <w:rPr>
              <w:sz w:val="24"/>
              <w:szCs w:val="24"/>
            </w:rPr>
            <w:fldChar w:fldCharType="end"/>
          </w:r>
        </w:p>
        <w:p w14:paraId="4D8A5D51">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_Toc17870 </w:instrText>
          </w:r>
          <w:r>
            <w:rPr>
              <w:sz w:val="24"/>
              <w:szCs w:val="24"/>
            </w:rPr>
            <w:fldChar w:fldCharType="separate"/>
          </w:r>
          <w:r>
            <w:rPr>
              <w:rFonts w:hint="eastAsia" w:asciiTheme="minorEastAsia" w:hAnsiTheme="minorEastAsia" w:eastAsiaTheme="minorEastAsia" w:cstheme="minorEastAsia"/>
              <w:sz w:val="24"/>
              <w:szCs w:val="24"/>
            </w:rPr>
            <w:t>3.1 分析框架</w:t>
          </w:r>
          <w:r>
            <w:rPr>
              <w:sz w:val="24"/>
              <w:szCs w:val="24"/>
            </w:rPr>
            <w:tab/>
          </w:r>
          <w:r>
            <w:rPr>
              <w:sz w:val="24"/>
              <w:szCs w:val="24"/>
            </w:rPr>
            <w:fldChar w:fldCharType="begin"/>
          </w:r>
          <w:r>
            <w:rPr>
              <w:sz w:val="24"/>
              <w:szCs w:val="24"/>
            </w:rPr>
            <w:instrText xml:space="preserve"> PAGEREF _Toc17870 \h </w:instrText>
          </w:r>
          <w:r>
            <w:rPr>
              <w:sz w:val="24"/>
              <w:szCs w:val="24"/>
            </w:rPr>
            <w:fldChar w:fldCharType="separate"/>
          </w:r>
          <w:r>
            <w:rPr>
              <w:sz w:val="24"/>
              <w:szCs w:val="24"/>
            </w:rPr>
            <w:t>5</w:t>
          </w:r>
          <w:r>
            <w:rPr>
              <w:sz w:val="24"/>
              <w:szCs w:val="24"/>
            </w:rPr>
            <w:fldChar w:fldCharType="end"/>
          </w:r>
          <w:r>
            <w:rPr>
              <w:sz w:val="24"/>
              <w:szCs w:val="24"/>
            </w:rPr>
            <w:fldChar w:fldCharType="end"/>
          </w:r>
        </w:p>
        <w:p w14:paraId="3F52A1DB">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_Toc16313 </w:instrText>
          </w:r>
          <w:r>
            <w:rPr>
              <w:sz w:val="24"/>
              <w:szCs w:val="24"/>
            </w:rPr>
            <w:fldChar w:fldCharType="separate"/>
          </w:r>
          <w:r>
            <w:rPr>
              <w:rFonts w:hint="eastAsia" w:asciiTheme="minorEastAsia" w:hAnsiTheme="minorEastAsia" w:eastAsiaTheme="minorEastAsia" w:cstheme="minorEastAsia"/>
              <w:sz w:val="24"/>
              <w:szCs w:val="24"/>
            </w:rPr>
            <w:t>3.2 数据收集与处理</w:t>
          </w:r>
          <w:r>
            <w:rPr>
              <w:sz w:val="24"/>
              <w:szCs w:val="24"/>
            </w:rPr>
            <w:tab/>
          </w:r>
          <w:r>
            <w:rPr>
              <w:sz w:val="24"/>
              <w:szCs w:val="24"/>
            </w:rPr>
            <w:fldChar w:fldCharType="begin"/>
          </w:r>
          <w:r>
            <w:rPr>
              <w:sz w:val="24"/>
              <w:szCs w:val="24"/>
            </w:rPr>
            <w:instrText xml:space="preserve"> PAGEREF _Toc16313 \h </w:instrText>
          </w:r>
          <w:r>
            <w:rPr>
              <w:sz w:val="24"/>
              <w:szCs w:val="24"/>
            </w:rPr>
            <w:fldChar w:fldCharType="separate"/>
          </w:r>
          <w:r>
            <w:rPr>
              <w:sz w:val="24"/>
              <w:szCs w:val="24"/>
            </w:rPr>
            <w:t>6</w:t>
          </w:r>
          <w:r>
            <w:rPr>
              <w:sz w:val="24"/>
              <w:szCs w:val="24"/>
            </w:rPr>
            <w:fldChar w:fldCharType="end"/>
          </w:r>
          <w:r>
            <w:rPr>
              <w:sz w:val="24"/>
              <w:szCs w:val="24"/>
            </w:rPr>
            <w:fldChar w:fldCharType="end"/>
          </w:r>
        </w:p>
        <w:p w14:paraId="4C98A031">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_Toc32741 </w:instrText>
          </w:r>
          <w:r>
            <w:rPr>
              <w:sz w:val="24"/>
              <w:szCs w:val="24"/>
            </w:rPr>
            <w:fldChar w:fldCharType="separate"/>
          </w:r>
          <w:r>
            <w:rPr>
              <w:rFonts w:hint="eastAsia" w:asciiTheme="minorEastAsia" w:hAnsiTheme="minorEastAsia" w:eastAsiaTheme="minorEastAsia" w:cstheme="minorEastAsia"/>
              <w:sz w:val="24"/>
              <w:szCs w:val="24"/>
              <w:lang w:val="en-US" w:eastAsia="zh-CN"/>
            </w:rPr>
            <w:t xml:space="preserve">四、 </w:t>
          </w:r>
          <w:r>
            <w:rPr>
              <w:rFonts w:hint="eastAsia" w:asciiTheme="minorEastAsia" w:hAnsiTheme="minorEastAsia" w:eastAsiaTheme="minorEastAsia" w:cstheme="minorEastAsia"/>
              <w:sz w:val="24"/>
              <w:szCs w:val="24"/>
            </w:rPr>
            <w:t>研究发现</w:t>
          </w:r>
          <w:r>
            <w:rPr>
              <w:rFonts w:hint="eastAsia" w:asciiTheme="minorEastAsia" w:hAnsiTheme="minorEastAsia" w:eastAsiaTheme="minorEastAsia" w:cstheme="minorEastAsia"/>
              <w:sz w:val="24"/>
              <w:szCs w:val="24"/>
              <w:lang w:val="en-US" w:eastAsia="zh-CN"/>
            </w:rPr>
            <w:t>:基于数据的传播效果分析</w:t>
          </w:r>
          <w:r>
            <w:rPr>
              <w:sz w:val="24"/>
              <w:szCs w:val="24"/>
            </w:rPr>
            <w:tab/>
          </w:r>
          <w:r>
            <w:rPr>
              <w:sz w:val="24"/>
              <w:szCs w:val="24"/>
            </w:rPr>
            <w:fldChar w:fldCharType="begin"/>
          </w:r>
          <w:r>
            <w:rPr>
              <w:sz w:val="24"/>
              <w:szCs w:val="24"/>
            </w:rPr>
            <w:instrText xml:space="preserve"> PAGEREF _Toc32741 \h </w:instrText>
          </w:r>
          <w:r>
            <w:rPr>
              <w:sz w:val="24"/>
              <w:szCs w:val="24"/>
            </w:rPr>
            <w:fldChar w:fldCharType="separate"/>
          </w:r>
          <w:r>
            <w:rPr>
              <w:sz w:val="24"/>
              <w:szCs w:val="24"/>
            </w:rPr>
            <w:t>9</w:t>
          </w:r>
          <w:r>
            <w:rPr>
              <w:sz w:val="24"/>
              <w:szCs w:val="24"/>
            </w:rPr>
            <w:fldChar w:fldCharType="end"/>
          </w:r>
          <w:r>
            <w:rPr>
              <w:sz w:val="24"/>
              <w:szCs w:val="24"/>
            </w:rPr>
            <w:fldChar w:fldCharType="end"/>
          </w:r>
        </w:p>
        <w:p w14:paraId="7955C444">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_Toc4618 </w:instrText>
          </w:r>
          <w:r>
            <w:rPr>
              <w:sz w:val="24"/>
              <w:szCs w:val="24"/>
            </w:rPr>
            <w:fldChar w:fldCharType="separate"/>
          </w:r>
          <w:r>
            <w:rPr>
              <w:rFonts w:hint="eastAsia" w:asciiTheme="minorEastAsia" w:hAnsiTheme="minorEastAsia" w:eastAsiaTheme="minorEastAsia" w:cstheme="minorEastAsia"/>
              <w:sz w:val="24"/>
              <w:szCs w:val="24"/>
            </w:rPr>
            <w:t>4.1 主题关注度分布：叙事类内容占绝对主导</w:t>
          </w:r>
          <w:r>
            <w:rPr>
              <w:sz w:val="24"/>
              <w:szCs w:val="24"/>
            </w:rPr>
            <w:tab/>
          </w:r>
          <w:r>
            <w:rPr>
              <w:sz w:val="24"/>
              <w:szCs w:val="24"/>
            </w:rPr>
            <w:fldChar w:fldCharType="begin"/>
          </w:r>
          <w:r>
            <w:rPr>
              <w:sz w:val="24"/>
              <w:szCs w:val="24"/>
            </w:rPr>
            <w:instrText xml:space="preserve"> PAGEREF _Toc4618 \h </w:instrText>
          </w:r>
          <w:r>
            <w:rPr>
              <w:sz w:val="24"/>
              <w:szCs w:val="24"/>
            </w:rPr>
            <w:fldChar w:fldCharType="separate"/>
          </w:r>
          <w:r>
            <w:rPr>
              <w:sz w:val="24"/>
              <w:szCs w:val="24"/>
            </w:rPr>
            <w:t>9</w:t>
          </w:r>
          <w:r>
            <w:rPr>
              <w:sz w:val="24"/>
              <w:szCs w:val="24"/>
            </w:rPr>
            <w:fldChar w:fldCharType="end"/>
          </w:r>
          <w:r>
            <w:rPr>
              <w:sz w:val="24"/>
              <w:szCs w:val="24"/>
            </w:rPr>
            <w:fldChar w:fldCharType="end"/>
          </w:r>
        </w:p>
        <w:p w14:paraId="484D18A0">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_Toc3661 </w:instrText>
          </w:r>
          <w:r>
            <w:rPr>
              <w:sz w:val="24"/>
              <w:szCs w:val="24"/>
            </w:rPr>
            <w:fldChar w:fldCharType="separate"/>
          </w:r>
          <w:r>
            <w:rPr>
              <w:sz w:val="24"/>
              <w:szCs w:val="24"/>
            </w:rPr>
            <w:t>4.2 情感效果差异：文旅融合体验主题正面率最高</w:t>
          </w:r>
          <w:r>
            <w:rPr>
              <w:sz w:val="24"/>
              <w:szCs w:val="24"/>
            </w:rPr>
            <w:tab/>
          </w:r>
          <w:r>
            <w:rPr>
              <w:sz w:val="24"/>
              <w:szCs w:val="24"/>
            </w:rPr>
            <w:fldChar w:fldCharType="begin"/>
          </w:r>
          <w:r>
            <w:rPr>
              <w:sz w:val="24"/>
              <w:szCs w:val="24"/>
            </w:rPr>
            <w:instrText xml:space="preserve"> PAGEREF _Toc3661 \h </w:instrText>
          </w:r>
          <w:r>
            <w:rPr>
              <w:sz w:val="24"/>
              <w:szCs w:val="24"/>
            </w:rPr>
            <w:fldChar w:fldCharType="separate"/>
          </w:r>
          <w:r>
            <w:rPr>
              <w:sz w:val="24"/>
              <w:szCs w:val="24"/>
            </w:rPr>
            <w:t>11</w:t>
          </w:r>
          <w:r>
            <w:rPr>
              <w:sz w:val="24"/>
              <w:szCs w:val="24"/>
            </w:rPr>
            <w:fldChar w:fldCharType="end"/>
          </w:r>
          <w:r>
            <w:rPr>
              <w:sz w:val="24"/>
              <w:szCs w:val="24"/>
            </w:rPr>
            <w:fldChar w:fldCharType="end"/>
          </w:r>
        </w:p>
        <w:p w14:paraId="01FA7CEE">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_Toc16742 </w:instrText>
          </w:r>
          <w:r>
            <w:rPr>
              <w:sz w:val="24"/>
              <w:szCs w:val="24"/>
            </w:rPr>
            <w:fldChar w:fldCharType="separate"/>
          </w:r>
          <w:r>
            <w:rPr>
              <w:sz w:val="24"/>
              <w:szCs w:val="24"/>
            </w:rPr>
            <w:t>4.3 深度情感与行为转化：叙事类主题更易激发深度反馈</w:t>
          </w:r>
          <w:r>
            <w:rPr>
              <w:sz w:val="24"/>
              <w:szCs w:val="24"/>
            </w:rPr>
            <w:tab/>
          </w:r>
          <w:r>
            <w:rPr>
              <w:sz w:val="24"/>
              <w:szCs w:val="24"/>
            </w:rPr>
            <w:fldChar w:fldCharType="begin"/>
          </w:r>
          <w:r>
            <w:rPr>
              <w:sz w:val="24"/>
              <w:szCs w:val="24"/>
            </w:rPr>
            <w:instrText xml:space="preserve"> PAGEREF _Toc16742 \h </w:instrText>
          </w:r>
          <w:r>
            <w:rPr>
              <w:sz w:val="24"/>
              <w:szCs w:val="24"/>
            </w:rPr>
            <w:fldChar w:fldCharType="separate"/>
          </w:r>
          <w:r>
            <w:rPr>
              <w:sz w:val="24"/>
              <w:szCs w:val="24"/>
            </w:rPr>
            <w:t>14</w:t>
          </w:r>
          <w:r>
            <w:rPr>
              <w:sz w:val="24"/>
              <w:szCs w:val="24"/>
            </w:rPr>
            <w:fldChar w:fldCharType="end"/>
          </w:r>
          <w:r>
            <w:rPr>
              <w:sz w:val="24"/>
              <w:szCs w:val="24"/>
            </w:rPr>
            <w:fldChar w:fldCharType="end"/>
          </w:r>
        </w:p>
        <w:p w14:paraId="13D095E5">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_Toc12452 </w:instrText>
          </w:r>
          <w:r>
            <w:rPr>
              <w:sz w:val="24"/>
              <w:szCs w:val="24"/>
            </w:rPr>
            <w:fldChar w:fldCharType="separate"/>
          </w:r>
          <w:r>
            <w:rPr>
              <w:sz w:val="24"/>
              <w:szCs w:val="24"/>
            </w:rPr>
            <w:t>4.4 传播深度层次：主题间差异显著（表 4、图 6）</w:t>
          </w:r>
          <w:r>
            <w:rPr>
              <w:sz w:val="24"/>
              <w:szCs w:val="24"/>
            </w:rPr>
            <w:tab/>
          </w:r>
          <w:r>
            <w:rPr>
              <w:sz w:val="24"/>
              <w:szCs w:val="24"/>
            </w:rPr>
            <w:fldChar w:fldCharType="begin"/>
          </w:r>
          <w:r>
            <w:rPr>
              <w:sz w:val="24"/>
              <w:szCs w:val="24"/>
            </w:rPr>
            <w:instrText xml:space="preserve"> PAGEREF _Toc12452 \h </w:instrText>
          </w:r>
          <w:r>
            <w:rPr>
              <w:sz w:val="24"/>
              <w:szCs w:val="24"/>
            </w:rPr>
            <w:fldChar w:fldCharType="separate"/>
          </w:r>
          <w:r>
            <w:rPr>
              <w:sz w:val="24"/>
              <w:szCs w:val="24"/>
            </w:rPr>
            <w:t>16</w:t>
          </w:r>
          <w:r>
            <w:rPr>
              <w:sz w:val="24"/>
              <w:szCs w:val="24"/>
            </w:rPr>
            <w:fldChar w:fldCharType="end"/>
          </w:r>
          <w:r>
            <w:rPr>
              <w:sz w:val="24"/>
              <w:szCs w:val="24"/>
            </w:rPr>
            <w:fldChar w:fldCharType="end"/>
          </w:r>
        </w:p>
        <w:p w14:paraId="42711A96">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_Toc2238 </w:instrText>
          </w:r>
          <w:r>
            <w:rPr>
              <w:sz w:val="24"/>
              <w:szCs w:val="24"/>
            </w:rPr>
            <w:fldChar w:fldCharType="separate"/>
          </w:r>
          <w:r>
            <w:rPr>
              <w:rFonts w:hint="eastAsia"/>
              <w:sz w:val="24"/>
              <w:szCs w:val="24"/>
            </w:rPr>
            <w:t xml:space="preserve">五、 </w:t>
          </w:r>
          <w:r>
            <w:rPr>
              <w:sz w:val="24"/>
              <w:szCs w:val="24"/>
            </w:rPr>
            <w:t>讨论：传播效果差异的原因与优化路径</w:t>
          </w:r>
          <w:r>
            <w:rPr>
              <w:sz w:val="24"/>
              <w:szCs w:val="24"/>
            </w:rPr>
            <w:tab/>
          </w:r>
          <w:r>
            <w:rPr>
              <w:sz w:val="24"/>
              <w:szCs w:val="24"/>
            </w:rPr>
            <w:fldChar w:fldCharType="begin"/>
          </w:r>
          <w:r>
            <w:rPr>
              <w:sz w:val="24"/>
              <w:szCs w:val="24"/>
            </w:rPr>
            <w:instrText xml:space="preserve"> PAGEREF _Toc2238 \h </w:instrText>
          </w:r>
          <w:r>
            <w:rPr>
              <w:sz w:val="24"/>
              <w:szCs w:val="24"/>
            </w:rPr>
            <w:fldChar w:fldCharType="separate"/>
          </w:r>
          <w:r>
            <w:rPr>
              <w:sz w:val="24"/>
              <w:szCs w:val="24"/>
            </w:rPr>
            <w:t>17</w:t>
          </w:r>
          <w:r>
            <w:rPr>
              <w:sz w:val="24"/>
              <w:szCs w:val="24"/>
            </w:rPr>
            <w:fldChar w:fldCharType="end"/>
          </w:r>
          <w:r>
            <w:rPr>
              <w:sz w:val="24"/>
              <w:szCs w:val="24"/>
            </w:rPr>
            <w:fldChar w:fldCharType="end"/>
          </w:r>
        </w:p>
        <w:p w14:paraId="766DAA12">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_Toc4258 </w:instrText>
          </w:r>
          <w:r>
            <w:rPr>
              <w:sz w:val="24"/>
              <w:szCs w:val="24"/>
            </w:rPr>
            <w:fldChar w:fldCharType="separate"/>
          </w:r>
          <w:r>
            <w:rPr>
              <w:sz w:val="24"/>
              <w:szCs w:val="24"/>
            </w:rPr>
            <w:t>5.1 传播效果差异的核心原因</w:t>
          </w:r>
          <w:r>
            <w:rPr>
              <w:sz w:val="24"/>
              <w:szCs w:val="24"/>
            </w:rPr>
            <w:tab/>
          </w:r>
          <w:r>
            <w:rPr>
              <w:sz w:val="24"/>
              <w:szCs w:val="24"/>
            </w:rPr>
            <w:fldChar w:fldCharType="begin"/>
          </w:r>
          <w:r>
            <w:rPr>
              <w:sz w:val="24"/>
              <w:szCs w:val="24"/>
            </w:rPr>
            <w:instrText xml:space="preserve"> PAGEREF _Toc4258 \h </w:instrText>
          </w:r>
          <w:r>
            <w:rPr>
              <w:sz w:val="24"/>
              <w:szCs w:val="24"/>
            </w:rPr>
            <w:fldChar w:fldCharType="separate"/>
          </w:r>
          <w:r>
            <w:rPr>
              <w:sz w:val="24"/>
              <w:szCs w:val="24"/>
            </w:rPr>
            <w:t>17</w:t>
          </w:r>
          <w:r>
            <w:rPr>
              <w:sz w:val="24"/>
              <w:szCs w:val="24"/>
            </w:rPr>
            <w:fldChar w:fldCharType="end"/>
          </w:r>
          <w:r>
            <w:rPr>
              <w:sz w:val="24"/>
              <w:szCs w:val="24"/>
            </w:rPr>
            <w:fldChar w:fldCharType="end"/>
          </w:r>
        </w:p>
        <w:p w14:paraId="0386E54F">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_Toc848 </w:instrText>
          </w:r>
          <w:r>
            <w:rPr>
              <w:sz w:val="24"/>
              <w:szCs w:val="24"/>
            </w:rPr>
            <w:fldChar w:fldCharType="separate"/>
          </w:r>
          <w:r>
            <w:rPr>
              <w:sz w:val="24"/>
              <w:szCs w:val="24"/>
            </w:rPr>
            <w:t>5.2 游戏文化传播的优化路径</w:t>
          </w:r>
          <w:r>
            <w:rPr>
              <w:sz w:val="24"/>
              <w:szCs w:val="24"/>
            </w:rPr>
            <w:tab/>
          </w:r>
          <w:r>
            <w:rPr>
              <w:sz w:val="24"/>
              <w:szCs w:val="24"/>
            </w:rPr>
            <w:fldChar w:fldCharType="begin"/>
          </w:r>
          <w:r>
            <w:rPr>
              <w:sz w:val="24"/>
              <w:szCs w:val="24"/>
            </w:rPr>
            <w:instrText xml:space="preserve"> PAGEREF _Toc848 \h </w:instrText>
          </w:r>
          <w:r>
            <w:rPr>
              <w:sz w:val="24"/>
              <w:szCs w:val="24"/>
            </w:rPr>
            <w:fldChar w:fldCharType="separate"/>
          </w:r>
          <w:r>
            <w:rPr>
              <w:sz w:val="24"/>
              <w:szCs w:val="24"/>
            </w:rPr>
            <w:t>18</w:t>
          </w:r>
          <w:r>
            <w:rPr>
              <w:sz w:val="24"/>
              <w:szCs w:val="24"/>
            </w:rPr>
            <w:fldChar w:fldCharType="end"/>
          </w:r>
          <w:r>
            <w:rPr>
              <w:sz w:val="24"/>
              <w:szCs w:val="24"/>
            </w:rPr>
            <w:fldChar w:fldCharType="end"/>
          </w:r>
        </w:p>
        <w:p w14:paraId="496631DD">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_Toc7015 </w:instrText>
          </w:r>
          <w:r>
            <w:rPr>
              <w:sz w:val="24"/>
              <w:szCs w:val="24"/>
            </w:rPr>
            <w:fldChar w:fldCharType="separate"/>
          </w:r>
          <w:r>
            <w:rPr>
              <w:rFonts w:hint="eastAsia"/>
              <w:sz w:val="24"/>
              <w:szCs w:val="24"/>
            </w:rPr>
            <w:t xml:space="preserve">六、 </w:t>
          </w:r>
          <w:r>
            <w:rPr>
              <w:sz w:val="24"/>
              <w:szCs w:val="24"/>
            </w:rPr>
            <w:t>结论与局限</w:t>
          </w:r>
          <w:r>
            <w:rPr>
              <w:sz w:val="24"/>
              <w:szCs w:val="24"/>
            </w:rPr>
            <w:tab/>
          </w:r>
          <w:r>
            <w:rPr>
              <w:sz w:val="24"/>
              <w:szCs w:val="24"/>
            </w:rPr>
            <w:fldChar w:fldCharType="begin"/>
          </w:r>
          <w:r>
            <w:rPr>
              <w:sz w:val="24"/>
              <w:szCs w:val="24"/>
            </w:rPr>
            <w:instrText xml:space="preserve"> PAGEREF _Toc7015 \h </w:instrText>
          </w:r>
          <w:r>
            <w:rPr>
              <w:sz w:val="24"/>
              <w:szCs w:val="24"/>
            </w:rPr>
            <w:fldChar w:fldCharType="separate"/>
          </w:r>
          <w:r>
            <w:rPr>
              <w:sz w:val="24"/>
              <w:szCs w:val="24"/>
            </w:rPr>
            <w:t>19</w:t>
          </w:r>
          <w:r>
            <w:rPr>
              <w:sz w:val="24"/>
              <w:szCs w:val="24"/>
            </w:rPr>
            <w:fldChar w:fldCharType="end"/>
          </w:r>
          <w:r>
            <w:rPr>
              <w:sz w:val="24"/>
              <w:szCs w:val="24"/>
            </w:rPr>
            <w:fldChar w:fldCharType="end"/>
          </w:r>
        </w:p>
        <w:p w14:paraId="6C4D2014">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_Toc5422 </w:instrText>
          </w:r>
          <w:r>
            <w:rPr>
              <w:sz w:val="24"/>
              <w:szCs w:val="24"/>
            </w:rPr>
            <w:fldChar w:fldCharType="separate"/>
          </w:r>
          <w:r>
            <w:rPr>
              <w:sz w:val="24"/>
              <w:szCs w:val="24"/>
            </w:rPr>
            <w:t>6.1 研究结论</w:t>
          </w:r>
          <w:r>
            <w:rPr>
              <w:sz w:val="24"/>
              <w:szCs w:val="24"/>
            </w:rPr>
            <w:tab/>
          </w:r>
          <w:r>
            <w:rPr>
              <w:sz w:val="24"/>
              <w:szCs w:val="24"/>
            </w:rPr>
            <w:fldChar w:fldCharType="begin"/>
          </w:r>
          <w:r>
            <w:rPr>
              <w:sz w:val="24"/>
              <w:szCs w:val="24"/>
            </w:rPr>
            <w:instrText xml:space="preserve"> PAGEREF _Toc5422 \h </w:instrText>
          </w:r>
          <w:r>
            <w:rPr>
              <w:sz w:val="24"/>
              <w:szCs w:val="24"/>
            </w:rPr>
            <w:fldChar w:fldCharType="separate"/>
          </w:r>
          <w:r>
            <w:rPr>
              <w:sz w:val="24"/>
              <w:szCs w:val="24"/>
            </w:rPr>
            <w:t>19</w:t>
          </w:r>
          <w:r>
            <w:rPr>
              <w:sz w:val="24"/>
              <w:szCs w:val="24"/>
            </w:rPr>
            <w:fldChar w:fldCharType="end"/>
          </w:r>
          <w:r>
            <w:rPr>
              <w:sz w:val="24"/>
              <w:szCs w:val="24"/>
            </w:rPr>
            <w:fldChar w:fldCharType="end"/>
          </w:r>
        </w:p>
        <w:p w14:paraId="4ACE161A">
          <w:pPr>
            <w:pStyle w:val="7"/>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_Toc27240 </w:instrText>
          </w:r>
          <w:r>
            <w:rPr>
              <w:sz w:val="24"/>
              <w:szCs w:val="24"/>
            </w:rPr>
            <w:fldChar w:fldCharType="separate"/>
          </w:r>
          <w:r>
            <w:rPr>
              <w:sz w:val="24"/>
              <w:szCs w:val="24"/>
            </w:rPr>
            <w:t>6.2 研究局限与未来方向</w:t>
          </w:r>
          <w:r>
            <w:rPr>
              <w:sz w:val="24"/>
              <w:szCs w:val="24"/>
            </w:rPr>
            <w:tab/>
          </w:r>
          <w:r>
            <w:rPr>
              <w:sz w:val="24"/>
              <w:szCs w:val="24"/>
            </w:rPr>
            <w:fldChar w:fldCharType="begin"/>
          </w:r>
          <w:r>
            <w:rPr>
              <w:sz w:val="24"/>
              <w:szCs w:val="24"/>
            </w:rPr>
            <w:instrText xml:space="preserve"> PAGEREF _Toc27240 \h </w:instrText>
          </w:r>
          <w:r>
            <w:rPr>
              <w:sz w:val="24"/>
              <w:szCs w:val="24"/>
            </w:rPr>
            <w:fldChar w:fldCharType="separate"/>
          </w:r>
          <w:r>
            <w:rPr>
              <w:sz w:val="24"/>
              <w:szCs w:val="24"/>
            </w:rPr>
            <w:t>20</w:t>
          </w:r>
          <w:r>
            <w:rPr>
              <w:sz w:val="24"/>
              <w:szCs w:val="24"/>
            </w:rPr>
            <w:fldChar w:fldCharType="end"/>
          </w:r>
          <w:r>
            <w:rPr>
              <w:sz w:val="24"/>
              <w:szCs w:val="24"/>
            </w:rPr>
            <w:fldChar w:fldCharType="end"/>
          </w:r>
        </w:p>
        <w:p w14:paraId="6A330BA3">
          <w:pPr>
            <w:pStyle w:val="10"/>
            <w:keepNext w:val="0"/>
            <w:keepLines w:val="0"/>
            <w:pageBreakBefore w:val="0"/>
            <w:widowControl w:val="0"/>
            <w:tabs>
              <w:tab w:val="right" w:leader="dot" w:pos="8306"/>
            </w:tabs>
            <w:kinsoku/>
            <w:wordWrap/>
            <w:overflowPunct/>
            <w:topLinePunct w:val="0"/>
            <w:autoSpaceDE/>
            <w:autoSpaceDN/>
            <w:bidi w:val="0"/>
            <w:adjustRightInd/>
            <w:snapToGrid/>
            <w:spacing w:line="360" w:lineRule="auto"/>
            <w:textAlignment w:val="auto"/>
            <w:rPr>
              <w:sz w:val="24"/>
              <w:szCs w:val="24"/>
            </w:rPr>
          </w:pPr>
          <w:r>
            <w:rPr>
              <w:sz w:val="24"/>
              <w:szCs w:val="24"/>
            </w:rPr>
            <w:fldChar w:fldCharType="begin"/>
          </w:r>
          <w:r>
            <w:rPr>
              <w:sz w:val="24"/>
              <w:szCs w:val="24"/>
            </w:rPr>
            <w:instrText xml:space="preserve"> HYPERLINK \l _Toc18680 </w:instrText>
          </w:r>
          <w:r>
            <w:rPr>
              <w:sz w:val="24"/>
              <w:szCs w:val="24"/>
            </w:rPr>
            <w:fldChar w:fldCharType="separate"/>
          </w:r>
          <w:r>
            <w:rPr>
              <w:rFonts w:hint="eastAsia" w:asciiTheme="minorEastAsia" w:hAnsiTheme="minorEastAsia" w:eastAsiaTheme="minorEastAsia" w:cstheme="minorEastAsia"/>
              <w:sz w:val="24"/>
              <w:szCs w:val="24"/>
            </w:rPr>
            <w:t>参考文献</w:t>
          </w:r>
          <w:r>
            <w:rPr>
              <w:sz w:val="24"/>
              <w:szCs w:val="24"/>
            </w:rPr>
            <w:tab/>
          </w:r>
          <w:r>
            <w:rPr>
              <w:sz w:val="24"/>
              <w:szCs w:val="24"/>
            </w:rPr>
            <w:fldChar w:fldCharType="begin"/>
          </w:r>
          <w:r>
            <w:rPr>
              <w:sz w:val="24"/>
              <w:szCs w:val="24"/>
            </w:rPr>
            <w:instrText xml:space="preserve"> PAGEREF _Toc18680 \h </w:instrText>
          </w:r>
          <w:r>
            <w:rPr>
              <w:sz w:val="24"/>
              <w:szCs w:val="24"/>
            </w:rPr>
            <w:fldChar w:fldCharType="separate"/>
          </w:r>
          <w:r>
            <w:rPr>
              <w:sz w:val="24"/>
              <w:szCs w:val="24"/>
            </w:rPr>
            <w:t>20</w:t>
          </w:r>
          <w:r>
            <w:rPr>
              <w:sz w:val="24"/>
              <w:szCs w:val="24"/>
            </w:rPr>
            <w:fldChar w:fldCharType="end"/>
          </w:r>
          <w:r>
            <w:rPr>
              <w:sz w:val="24"/>
              <w:szCs w:val="24"/>
            </w:rPr>
            <w:fldChar w:fldCharType="end"/>
          </w:r>
        </w:p>
        <w:p w14:paraId="5415C216">
          <w:pPr>
            <w:rPr>
              <w:sz w:val="24"/>
              <w:szCs w:val="24"/>
            </w:rPr>
          </w:pPr>
          <w:r>
            <w:rPr>
              <w:sz w:val="24"/>
              <w:szCs w:val="24"/>
            </w:rPr>
            <w:fldChar w:fldCharType="end"/>
          </w:r>
        </w:p>
        <w:p w14:paraId="185BAAC7">
          <w:pPr>
            <w:rPr>
              <w:sz w:val="24"/>
              <w:szCs w:val="24"/>
            </w:rPr>
          </w:pPr>
          <w:r>
            <w:rPr>
              <w:sz w:val="24"/>
              <w:szCs w:val="24"/>
            </w:rPr>
            <w:br w:type="page"/>
          </w:r>
        </w:p>
      </w:sdtContent>
    </w:sdt>
    <w:p w14:paraId="386D6DE0">
      <w:pPr>
        <w:pStyle w:val="3"/>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0" w:name="_Toc12092"/>
      <w:r>
        <w:rPr>
          <w:rFonts w:hint="eastAsia" w:asciiTheme="minorEastAsia" w:hAnsiTheme="minorEastAsia" w:eastAsiaTheme="minorEastAsia" w:cstheme="minorEastAsia"/>
        </w:rPr>
        <w:t>摘要</w:t>
      </w:r>
      <w:bookmarkEnd w:id="0"/>
    </w:p>
    <w:p w14:paraId="3D2BD10D">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本文选取国风游戏《燕云十六声》作为研究案例，围绕 “游戏作为文化传播新载体的实际作用” 这一核心，爬取了 B 站平台 14 条核心相关视频下的 8899 条用户评论，搭建了 “认知 - 情感 - 行为 - 主体” 的四维分析框架，结合文本挖掘、情感分析等方法展开了实证研究。</w:t>
      </w:r>
    </w:p>
    <w:p w14:paraId="47B56E8A">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研究中，我们将传播内容划分成 “文旅融合体验”“核心文化传承” 等 6 类主题，着重对比了不同主题在评论覆盖、情感倾向、行为转化上的差异。从结果来看：“文旅融合体验” 主题以 37.9% 的加权正面评价率成为传播效果最好的类别；“深度叙事解读” 主题的深度情感表达占比最高，达到 1.8%；“核心文化传承” 主题则在用户行为意向方面表现最优，这一比例为 9.8%。另外，6 类主题的样本量差距达到了 48.9 倍，这也体现出用户对不同文化传播内容的关注度存在明显差异。</w:t>
      </w:r>
    </w:p>
    <w:p w14:paraId="2190FE6B">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本研究既能为游戏文化传播的主题优化、效果提升提供实际的数据支撑，也能为数字时代中华文化的传播实践提供策略层面的参考。</w:t>
      </w:r>
    </w:p>
    <w:p w14:paraId="38701884">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关键词：游戏</w:t>
      </w:r>
      <w:r>
        <w:rPr>
          <w:rFonts w:hint="eastAsia" w:asciiTheme="minorEastAsia" w:hAnsiTheme="minorEastAsia" w:cstheme="minorEastAsia"/>
          <w:lang w:val="en-US" w:eastAsia="zh-CN"/>
        </w:rPr>
        <w:t>媒介</w:t>
      </w:r>
      <w:r>
        <w:rPr>
          <w:rFonts w:hint="eastAsia" w:asciiTheme="minorEastAsia" w:hAnsiTheme="minorEastAsia" w:eastAsiaTheme="minorEastAsia" w:cstheme="minorEastAsia"/>
        </w:rPr>
        <w:t>；文化传播；情感分析；</w:t>
      </w:r>
      <w:r>
        <w:rPr>
          <w:rFonts w:hint="eastAsia" w:asciiTheme="minorEastAsia" w:hAnsiTheme="minorEastAsia" w:cstheme="minorEastAsia"/>
          <w:lang w:val="en-US" w:eastAsia="zh-CN"/>
        </w:rPr>
        <w:t>bilibili平台</w:t>
      </w:r>
      <w:r>
        <w:rPr>
          <w:rFonts w:hint="eastAsia" w:asciiTheme="minorEastAsia" w:hAnsiTheme="minorEastAsia" w:eastAsiaTheme="minorEastAsia" w:cstheme="minorEastAsia"/>
        </w:rPr>
        <w:t>评论；《燕云十六声》；数字媒介</w:t>
      </w:r>
    </w:p>
    <w:p w14:paraId="07632913">
      <w:pPr>
        <w:rPr>
          <w:rFonts w:hint="eastAsia" w:asciiTheme="minorEastAsia" w:hAnsiTheme="minorEastAsia" w:eastAsiaTheme="minorEastAsia" w:cstheme="minorEastAsia"/>
        </w:rPr>
      </w:pPr>
      <w:r>
        <w:rPr>
          <w:rFonts w:hint="eastAsia" w:asciiTheme="minorEastAsia" w:hAnsiTheme="minorEastAsia" w:eastAsiaTheme="minorEastAsia" w:cstheme="minorEastAsia"/>
        </w:rPr>
        <w:br w:type="page"/>
      </w:r>
    </w:p>
    <w:p w14:paraId="60B71A36">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p>
    <w:p w14:paraId="38DCD9DF">
      <w:pPr>
        <w:pStyle w:val="3"/>
        <w:keepNext w:val="0"/>
        <w:keepLines w:val="0"/>
        <w:widowControl/>
        <w:numPr>
          <w:ilvl w:val="0"/>
          <w:numId w:val="1"/>
        </w:numPr>
        <w:suppressLineNumbers w:val="0"/>
        <w:pBdr>
          <w:left w:val="none" w:color="auto" w:sz="0" w:space="0"/>
        </w:pBdr>
        <w:ind w:left="0" w:firstLine="0"/>
        <w:jc w:val="left"/>
        <w:rPr>
          <w:rFonts w:hint="eastAsia" w:asciiTheme="minorEastAsia" w:hAnsiTheme="minorEastAsia" w:eastAsiaTheme="minorEastAsia" w:cstheme="minorEastAsia"/>
        </w:rPr>
      </w:pPr>
      <w:bookmarkStart w:id="1" w:name="_Toc22172"/>
      <w:r>
        <w:rPr>
          <w:rFonts w:hint="eastAsia" w:asciiTheme="minorEastAsia" w:hAnsiTheme="minorEastAsia" w:eastAsiaTheme="minorEastAsia" w:cstheme="minorEastAsia"/>
        </w:rPr>
        <w:t>引言：游戏作为文化传播新媒介</w:t>
      </w:r>
      <w:bookmarkEnd w:id="1"/>
    </w:p>
    <w:p w14:paraId="14DBAA31">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数字技术的迅猛发展，正不断拓展游戏的媒介价值——它早已跳出“单纯娱乐工具”的局限，逐步成长为承载与传播传统文化的重要载体。和博物馆、剧院等传统文化机构“单向灌输”的传播模式不同，游戏凭借沉浸式的场景搭建、强互动的玩法设计，再加上社群化的讨论氛围，能让用户以“参与者”而非“旁观者”的身份亲近文化内容。尤其在“Z世代”群体中，这种“亲身参与式”的体验，已成为他们构建文化认知、培育文化认同的全新路径。</w:t>
      </w:r>
    </w:p>
    <w:p w14:paraId="27D0E002">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以五代十国与宋初历史为背景的国产国风游戏《燕云十六声》，正是“游戏+文化”融合的典型代表。其开发团队将敦煌艺术、古代乐舞、历史地理等多元文化元素，深度嵌入游戏叙事、场景建模与核心玩法之中；同时通过B站持续推送剧情解读、幕后制作、文旅联动等多样化视频内容，最终形成“游戏内容产出—平台传播扩散—文化价值输出”的完整链路，为观察游戏文化传播的实践效果提供了绝佳样本。</w:t>
      </w:r>
    </w:p>
    <w:p w14:paraId="04B1B1A3">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不过</w:t>
      </w:r>
      <w:r>
        <w:rPr>
          <w:rFonts w:hint="eastAsia" w:asciiTheme="minorEastAsia" w:hAnsiTheme="minorEastAsia" w:cstheme="minorEastAsia"/>
          <w:lang w:eastAsia="zh-CN"/>
        </w:rPr>
        <w:t>，</w:t>
      </w:r>
      <w:r>
        <w:rPr>
          <w:rFonts w:hint="eastAsia" w:asciiTheme="minorEastAsia" w:hAnsiTheme="minorEastAsia" w:eastAsiaTheme="minorEastAsia" w:cstheme="minorEastAsia"/>
        </w:rPr>
        <w:t>目前学界对游戏文化传播的研究，大多停留在理论探讨或单一主题分析层面，针对“不同传播主题效果差异”的系统性实证研究相对匮乏。比如用户对“文旅联动”与“技术复原文化”两类主题的反馈是否存在区别？哪些主题更能激发用户的深度情感共鸣，又有哪些主题更易转化为用户的实际行动意愿？基于这些研究缺口，本研究以《燕云十六声》的B站评论数据为依托，将其传播主题细分为6大类，通过量化分析解答上述问题，以期为游戏文化传播的主题选择与策略优化提供实证参考。</w:t>
      </w:r>
    </w:p>
    <w:p w14:paraId="10085E1A">
      <w:pPr>
        <w:pStyle w:val="3"/>
        <w:keepNext w:val="0"/>
        <w:keepLines w:val="0"/>
        <w:widowControl/>
        <w:numPr>
          <w:ilvl w:val="0"/>
          <w:numId w:val="1"/>
        </w:numPr>
        <w:suppressLineNumbers w:val="0"/>
        <w:pBdr>
          <w:left w:val="none" w:color="auto" w:sz="0" w:space="0"/>
        </w:pBdr>
        <w:ind w:left="0" w:leftChars="0" w:firstLine="0" w:firstLineChars="0"/>
        <w:jc w:val="left"/>
        <w:rPr>
          <w:rFonts w:hint="eastAsia" w:asciiTheme="minorEastAsia" w:hAnsiTheme="minorEastAsia" w:eastAsiaTheme="minorEastAsia" w:cstheme="minorEastAsia"/>
        </w:rPr>
      </w:pPr>
      <w:bookmarkStart w:id="2" w:name="_Toc3071"/>
      <w:r>
        <w:rPr>
          <w:rFonts w:hint="eastAsia" w:asciiTheme="minorEastAsia" w:hAnsiTheme="minorEastAsia" w:eastAsiaTheme="minorEastAsia" w:cstheme="minorEastAsia"/>
        </w:rPr>
        <w:t>文献综述：数字时代的文化传播理论</w:t>
      </w:r>
      <w:bookmarkEnd w:id="2"/>
    </w:p>
    <w:p w14:paraId="0C570608">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本研究以《燕云十六声》为案例，探究其作为文化传播新媒介的效果。为奠定研究的理论基础，本部分将先梳理文化传播理论的数字化发展趋势，再聚焦游戏作为传播载体的独特价值，最后回顾评估传播效果的文本分析方法，并指出现有研究存在的空白。</w:t>
      </w:r>
    </w:p>
    <w:p w14:paraId="7A01171E">
      <w:pPr>
        <w:pStyle w:val="4"/>
        <w:numPr>
          <w:ilvl w:val="0"/>
          <w:numId w:val="0"/>
        </w:numPr>
        <w:bidi w:val="0"/>
        <w:ind w:leftChars="0"/>
        <w:rPr>
          <w:rFonts w:hint="eastAsia"/>
        </w:rPr>
      </w:pPr>
      <w:bookmarkStart w:id="3" w:name="_Toc23677"/>
      <w:r>
        <w:rPr>
          <w:rFonts w:hint="eastAsia"/>
        </w:rPr>
        <w:t>2.1 文化传播的数字化转向与媒介演进</w:t>
      </w:r>
      <w:bookmarkEnd w:id="3"/>
    </w:p>
    <w:p w14:paraId="6C3013F2">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传统文化传播研究多集中于博物馆、文化遗产地、学校教育等官方或实体渠道。但数字媒体的兴起彻底改变了文化传播的生态，B站、YouTube等社交媒体平台已成为文化传播与交流的重要新场所。有研究通过分析YouTube上李子柒的视频评论发现，以日常生活叙事和视觉化表达为特点的个体化传播，在引发跨文化情感共鸣方面具有巨大潜力，其成功关键在于触及了“人与自然和谐共生”等人类共通的价值观，这为理解数字平台的文化传播机制提供了重要视角</w:t>
      </w:r>
      <w:r>
        <w:rPr>
          <w:rFonts w:hint="eastAsia" w:asciiTheme="minorEastAsia" w:hAnsiTheme="minorEastAsia" w:cstheme="minorEastAsia"/>
          <w:lang w:val="en-US" w:eastAsia="zh-CN"/>
        </w:rPr>
        <w:t>[6]</w:t>
      </w:r>
      <w:r>
        <w:rPr>
          <w:rFonts w:hint="eastAsia" w:asciiTheme="minorEastAsia" w:hAnsiTheme="minorEastAsia" w:eastAsiaTheme="minorEastAsia" w:cstheme="minorEastAsia"/>
        </w:rPr>
        <w:t>。</w:t>
      </w:r>
    </w:p>
    <w:p w14:paraId="0BD21C6B">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与此同时，传统文化的传播模式在数字时代也经历着深刻的“IP化”转型。有研究以北京故宫博物院为例，系统阐述了“互联网+”背景下，传统文化如何通过娱乐化表达、互动性产品和全媒体渠道，成功吸引年轻受众并实现文化价值的现代转化</w:t>
      </w:r>
      <w:r>
        <w:rPr>
          <w:rFonts w:hint="eastAsia" w:asciiTheme="minorEastAsia" w:hAnsiTheme="minorEastAsia" w:cstheme="minorEastAsia"/>
          <w:lang w:val="en-US" w:eastAsia="zh-CN"/>
        </w:rPr>
        <w:t>[8]</w:t>
      </w:r>
      <w:r>
        <w:rPr>
          <w:rFonts w:hint="eastAsia" w:asciiTheme="minorEastAsia" w:hAnsiTheme="minorEastAsia" w:eastAsiaTheme="minorEastAsia" w:cstheme="minorEastAsia"/>
        </w:rPr>
        <w:t>。故宫的案例表明，文化传播不再是单向的知识灌输，而是以受众为中心、强调情感沟通与价值认同的互动过程。这种从“宣教”到“对话”的范式转变，是本研究开展的核心背景。</w:t>
      </w:r>
    </w:p>
    <w:p w14:paraId="51051B9A">
      <w:pPr>
        <w:pStyle w:val="4"/>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4" w:name="_Toc32638"/>
      <w:r>
        <w:rPr>
          <w:rFonts w:hint="eastAsia" w:asciiTheme="minorEastAsia" w:hAnsiTheme="minorEastAsia" w:eastAsiaTheme="minorEastAsia" w:cstheme="minorEastAsia"/>
        </w:rPr>
        <w:t>2.2 游戏作为文化传播的“活化”媒介</w:t>
      </w:r>
      <w:bookmarkEnd w:id="4"/>
    </w:p>
    <w:p w14:paraId="35824364">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在各类数字传播渠道里，游戏凭借沉浸式体验、高互动性与社群联结属性，常被视作文化传播的优质载体之一。有学者以《王者荣耀》为具体案例，分析了这类手机游戏如何通过塑造多元的品牌文化（比如团战文化、电竞赛事文化），搭配跨界联动的传播方式来深化用户认同；这一研究也指出，游戏的价值不止于休闲娱乐，更能成为承载文化体验、串联社交关系的重要纽带</w:t>
      </w:r>
      <w:r>
        <w:rPr>
          <w:rFonts w:hint="eastAsia" w:asciiTheme="minorEastAsia" w:hAnsiTheme="minorEastAsia" w:cstheme="minorEastAsia"/>
          <w:lang w:val="en-US" w:eastAsia="zh-CN"/>
        </w:rPr>
        <w:t>[10]</w:t>
      </w:r>
      <w:r>
        <w:rPr>
          <w:rFonts w:hint="eastAsia" w:asciiTheme="minorEastAsia" w:hAnsiTheme="minorEastAsia" w:eastAsiaTheme="minorEastAsia" w:cstheme="minorEastAsia"/>
        </w:rPr>
        <w:t>。</w:t>
      </w:r>
    </w:p>
    <w:p w14:paraId="2C2440E3">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但现有关于游戏与文化传播的研究，大多从品牌传播或营销策略的视角切入，或集中于游戏内文化符号的简单呈现。对于游戏官方通过剧情分析、幕后制作、公益活动等多元化视频内容主动进行的系统性文化传播，其效果如何？文脉传承、科技赋能、社会责任等不同传播主题会引发用户怎样不同的认知、情感和行为反应？目前还缺乏细致深入的实证研究。本研究旨在填补这一空白，深入剖析游戏作为综合性文化传播平台的内在机制。</w:t>
      </w:r>
    </w:p>
    <w:p w14:paraId="1E0F0FA2">
      <w:pPr>
        <w:pStyle w:val="4"/>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5" w:name="_Toc26041"/>
      <w:r>
        <w:rPr>
          <w:rFonts w:hint="eastAsia" w:asciiTheme="minorEastAsia" w:hAnsiTheme="minorEastAsia" w:eastAsiaTheme="minorEastAsia" w:cstheme="minorEastAsia"/>
        </w:rPr>
        <w:t>2.3 传播效果的测量：从情感分析到行为意向</w:t>
      </w:r>
      <w:bookmarkEnd w:id="5"/>
    </w:p>
    <w:p w14:paraId="302CBC3C">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要科学评估文化传播效果，离不开对用户反馈数据的精准测量。在情感分析方面，有研究指出通用情感词典在分析中文社交媒体等特定领域文本时存在局限性，并验证了融合点互信息（PMI）与词向量（Word2Vec）方法构建领域情感词典的有效性</w:t>
      </w:r>
      <w:r>
        <w:rPr>
          <w:rFonts w:hint="eastAsia" w:asciiTheme="minorEastAsia" w:hAnsiTheme="minorEastAsia" w:cstheme="minorEastAsia"/>
          <w:lang w:val="en-US" w:eastAsia="zh-CN"/>
        </w:rPr>
        <w:t>[1]</w:t>
      </w:r>
      <w:r>
        <w:rPr>
          <w:rFonts w:hint="eastAsia" w:asciiTheme="minorEastAsia" w:hAnsiTheme="minorEastAsia" w:eastAsiaTheme="minorEastAsia" w:cstheme="minorEastAsia"/>
        </w:rPr>
        <w:t>。还有研究进一步构建了金融领域的专用情绪词典，证明了适配特定领域的词典在提升分析准确性上的重要作用</w:t>
      </w:r>
      <w:r>
        <w:rPr>
          <w:rFonts w:hint="eastAsia" w:asciiTheme="minorEastAsia" w:hAnsiTheme="minorEastAsia" w:cstheme="minorEastAsia"/>
          <w:lang w:val="en-US" w:eastAsia="zh-CN"/>
        </w:rPr>
        <w:t>[5]</w:t>
      </w:r>
      <w:r>
        <w:rPr>
          <w:rFonts w:hint="eastAsia" w:asciiTheme="minorEastAsia" w:hAnsiTheme="minorEastAsia" w:eastAsiaTheme="minorEastAsia" w:cstheme="minorEastAsia"/>
        </w:rPr>
        <w:t>。这些方法为本次研究对B站评论进行情感分析提供了有益的方法论借鉴。</w:t>
      </w:r>
    </w:p>
    <w:p w14:paraId="55869BDD">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除了基础的情感极性（正面/负面）分析，要获得更深入的用户洞察，还需要挖掘用户具体的情感倾向和行为意向。有研究对网红品牌“喜茶”的社交媒体内容进行分析，通过文本挖掘将消费者细分为五类，并识别出每类人群的独特情感（如“被‘种草’的潜在消费者”的“期待”、“忠实消费者”的“自豪”）</w:t>
      </w:r>
      <w:r>
        <w:rPr>
          <w:rFonts w:hint="eastAsia" w:asciiTheme="minorEastAsia" w:hAnsiTheme="minorEastAsia" w:cstheme="minorEastAsia"/>
          <w:lang w:val="en-US" w:eastAsia="zh-CN"/>
        </w:rPr>
        <w:t>[4]</w:t>
      </w:r>
      <w:r>
        <w:rPr>
          <w:rFonts w:hint="eastAsia" w:asciiTheme="minorEastAsia" w:hAnsiTheme="minorEastAsia" w:eastAsiaTheme="minorEastAsia" w:cstheme="minorEastAsia"/>
        </w:rPr>
        <w:t>。这种基于情感和行为的用户细分思路，直接启发了本研究对“文化自豪感”“赞美认同”等深度情感，以及“旅游意愿”“二次创作”等行为意向的分类考察。</w:t>
      </w:r>
    </w:p>
    <w:p w14:paraId="6B710973">
      <w:pPr>
        <w:pStyle w:val="4"/>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6" w:name="_Toc24383"/>
      <w:r>
        <w:rPr>
          <w:rFonts w:hint="eastAsia" w:asciiTheme="minorEastAsia" w:hAnsiTheme="minorEastAsia" w:eastAsiaTheme="minorEastAsia" w:cstheme="minorEastAsia"/>
        </w:rPr>
        <w:t>2.4 传播主体与社群互动的影响</w:t>
      </w:r>
      <w:bookmarkEnd w:id="6"/>
    </w:p>
    <w:p w14:paraId="4A33E1BF">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数字时代的文化传播是多元主体共同构建的过程。有博士论文系统研究了社交媒体中用户互动的机制，区分了微信（强关系）和微博（弱关系）平台的不同互动模式与关系网络结构，指出议题设置和信息分发机制是影响B站等弱关系平台互动效果的关键因素</w:t>
      </w:r>
      <w:r>
        <w:rPr>
          <w:rFonts w:hint="eastAsia" w:asciiTheme="minorEastAsia" w:hAnsiTheme="minorEastAsia" w:cstheme="minorEastAsia"/>
          <w:lang w:val="en-US" w:eastAsia="zh-CN"/>
        </w:rPr>
        <w:t>[9]</w:t>
      </w:r>
      <w:r>
        <w:rPr>
          <w:rFonts w:hint="eastAsia" w:asciiTheme="minorEastAsia" w:hAnsiTheme="minorEastAsia" w:eastAsiaTheme="minorEastAsia" w:cstheme="minorEastAsia"/>
        </w:rPr>
        <w:t>。这提示我们，在游戏社群中，官方与个人账号作为不同的传播主体，可能会因为自身角色和内容呈现方式的差异，引导评论区形成截然不同的讨论重点和互动生态。但现有研究尚未在游戏文化传播这一具体场景下，对官方与个人账号的传播效果进行系统的对比分析。</w:t>
      </w:r>
    </w:p>
    <w:p w14:paraId="068B186D">
      <w:pPr>
        <w:pStyle w:val="4"/>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7" w:name="_Toc24634"/>
      <w:r>
        <w:rPr>
          <w:rFonts w:hint="eastAsia" w:asciiTheme="minorEastAsia" w:hAnsiTheme="minorEastAsia" w:eastAsiaTheme="minorEastAsia" w:cstheme="minorEastAsia"/>
        </w:rPr>
        <w:t>2.5 研究空白与本研究的定位</w:t>
      </w:r>
      <w:bookmarkEnd w:id="7"/>
    </w:p>
    <w:p w14:paraId="79FD1B20">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综合来看，现有研究已为数字时代的文化传播提供了丰富的理论视角与方法工具，但仍存在以下空白：</w:t>
      </w:r>
    </w:p>
    <w:p w14:paraId="05FCF9B4">
      <w:pPr>
        <w:keepNext w:val="0"/>
        <w:keepLines w:val="0"/>
        <w:widowControl/>
        <w:numPr>
          <w:ilvl w:val="0"/>
          <w:numId w:val="2"/>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研究对象上，多数研究关注短视频、社交媒体博主或游戏内的文化元素，缺乏对游戏官方系统性外延文化传播内容的效果检验；</w:t>
      </w:r>
    </w:p>
    <w:p w14:paraId="139DE0A6">
      <w:pPr>
        <w:keepNext w:val="0"/>
        <w:keepLines w:val="0"/>
        <w:widowControl/>
        <w:numPr>
          <w:ilvl w:val="0"/>
          <w:numId w:val="2"/>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研究深度上，往往只进行整体情感分析，未能深入拆解用户的情感层次（如文化自豪感）和具体的行为意向（如旅游意愿）；</w:t>
      </w:r>
    </w:p>
    <w:p w14:paraId="1BA4D6C8">
      <w:pPr>
        <w:keepNext w:val="0"/>
        <w:keepLines w:val="0"/>
        <w:widowControl/>
        <w:numPr>
          <w:ilvl w:val="0"/>
          <w:numId w:val="2"/>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研究视角上，缺乏对传播主体（官方vs.个人）在塑造文化传播效果中调节作用的精细对比。</w:t>
      </w:r>
    </w:p>
    <w:p w14:paraId="062965C4">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因此，本研究立足于“游戏作为文化传播深度媒介”的视角，以《燕云十六声》为案例，构建包含认知效果（主题关注度）、情感效果（情感反应深度）、行为意向（行为转化）和主体差异的四维分析框架，旨在通过对其B站评论的实证分析，揭示游戏进行文化传播的有效路径与内在机制，从而对数字时代的文化传播理论做出有益补充。</w:t>
      </w:r>
    </w:p>
    <w:p w14:paraId="4FA12401">
      <w:pPr>
        <w:pStyle w:val="3"/>
        <w:keepNext w:val="0"/>
        <w:keepLines w:val="0"/>
        <w:widowControl/>
        <w:numPr>
          <w:ilvl w:val="0"/>
          <w:numId w:val="1"/>
        </w:numPr>
        <w:suppressLineNumbers w:val="0"/>
        <w:pBdr>
          <w:left w:val="none" w:color="auto" w:sz="0" w:space="0"/>
        </w:pBdr>
        <w:ind w:left="0" w:leftChars="0" w:firstLine="0" w:firstLineChars="0"/>
        <w:jc w:val="left"/>
        <w:rPr>
          <w:rFonts w:hint="eastAsia" w:asciiTheme="minorEastAsia" w:hAnsiTheme="minorEastAsia" w:eastAsiaTheme="minorEastAsia" w:cstheme="minorEastAsia"/>
        </w:rPr>
      </w:pPr>
      <w:bookmarkStart w:id="8" w:name="_Toc32277"/>
      <w:r>
        <w:rPr>
          <w:rFonts w:hint="eastAsia" w:asciiTheme="minorEastAsia" w:hAnsiTheme="minorEastAsia" w:eastAsiaTheme="minorEastAsia" w:cstheme="minorEastAsia"/>
        </w:rPr>
        <w:t>研究方法：四维分析框架与数据来源</w:t>
      </w:r>
      <w:bookmarkEnd w:id="8"/>
    </w:p>
    <w:p w14:paraId="5E22E5B8">
      <w:pPr>
        <w:pStyle w:val="4"/>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9" w:name="_Toc17870"/>
      <w:r>
        <w:rPr>
          <w:rFonts w:hint="eastAsia" w:asciiTheme="minorEastAsia" w:hAnsiTheme="minorEastAsia" w:eastAsiaTheme="minorEastAsia" w:cstheme="minorEastAsia"/>
        </w:rPr>
        <w:t>3.1 分析框架</w:t>
      </w:r>
      <w:bookmarkEnd w:id="9"/>
    </w:p>
    <w:p w14:paraId="28591DAD">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本研究构建了四维度的文化传播效果分析框架，以系统评估《燕云十六声》的传播实践：</w:t>
      </w:r>
    </w:p>
    <w:p w14:paraId="25AB5475">
      <w:pPr>
        <w:keepNext w:val="0"/>
        <w:keepLines w:val="0"/>
        <w:widowControl/>
        <w:numPr>
          <w:ilvl w:val="0"/>
          <w:numId w:val="3"/>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认知效果：通过各主题视频的评论数量与平均点赞数，衡量用户对该主题的关注度与基础参与度；</w:t>
      </w:r>
    </w:p>
    <w:p w14:paraId="200015A2">
      <w:pPr>
        <w:keepNext w:val="0"/>
        <w:keepLines w:val="0"/>
        <w:widowControl/>
        <w:numPr>
          <w:ilvl w:val="0"/>
          <w:numId w:val="3"/>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情感效果：采用情感分析方法计算正面评价率与平均情感得分，并对正面评论进行深度情感分类（如文化自豪、情感共鸣、赞美认同），以解析用户的情感反应结构；</w:t>
      </w:r>
    </w:p>
    <w:p w14:paraId="26520B8A">
      <w:pPr>
        <w:keepNext w:val="0"/>
        <w:keepLines w:val="0"/>
        <w:widowControl/>
        <w:numPr>
          <w:ilvl w:val="0"/>
          <w:numId w:val="3"/>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行为意向效果：通过识别评论中表达的旅游意愿、搜索学习、传播意愿与二次创作意向，衡量文化传播的行为转化潜力；</w:t>
      </w:r>
    </w:p>
    <w:p w14:paraId="38DC106A">
      <w:pPr>
        <w:keepNext w:val="0"/>
        <w:keepLines w:val="0"/>
        <w:widowControl/>
        <w:numPr>
          <w:ilvl w:val="0"/>
          <w:numId w:val="3"/>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传播主体效果：对比官方账号与个人账号在以上三个维度上的表现差异，探讨发布主体的调节作用。</w:t>
      </w:r>
    </w:p>
    <w:tbl>
      <w:tblPr>
        <w:tblStyle w:val="12"/>
        <w:tblW w:w="8522" w:type="dxa"/>
        <w:jc w:val="center"/>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Layout w:type="autofit"/>
        <w:tblCellMar>
          <w:top w:w="15" w:type="dxa"/>
          <w:left w:w="15" w:type="dxa"/>
          <w:bottom w:w="15" w:type="dxa"/>
          <w:right w:w="15" w:type="dxa"/>
        </w:tblCellMar>
      </w:tblPr>
      <w:tblGrid>
        <w:gridCol w:w="2126"/>
        <w:gridCol w:w="2420"/>
        <w:gridCol w:w="3976"/>
      </w:tblGrid>
      <w:tr w14:paraId="2974AB5B">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tblHeader/>
          <w:jc w:val="center"/>
        </w:trPr>
        <w:tc>
          <w:tcPr>
            <w:tcW w:w="2126" w:type="dxa"/>
            <w:tcBorders>
              <w:top w:val="single" w:color="auto" w:sz="12" w:space="0"/>
              <w:left w:val="nil"/>
              <w:bottom w:val="single" w:color="auto" w:sz="4" w:space="0"/>
              <w:right w:val="nil"/>
            </w:tcBorders>
            <w:shd w:val="clear" w:color="auto" w:fill="auto"/>
            <w:vAlign w:val="center"/>
          </w:tcPr>
          <w:p w14:paraId="5C2F71C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维度</w:t>
            </w:r>
          </w:p>
        </w:tc>
        <w:tc>
          <w:tcPr>
            <w:tcW w:w="2420" w:type="dxa"/>
            <w:tcBorders>
              <w:top w:val="single" w:color="auto" w:sz="12" w:space="0"/>
              <w:left w:val="nil"/>
              <w:bottom w:val="single" w:color="auto" w:sz="4" w:space="0"/>
              <w:right w:val="nil"/>
            </w:tcBorders>
            <w:shd w:val="clear" w:color="auto" w:fill="auto"/>
            <w:vAlign w:val="center"/>
          </w:tcPr>
          <w:p w14:paraId="11F603F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核心内涵</w:t>
            </w:r>
          </w:p>
        </w:tc>
        <w:tc>
          <w:tcPr>
            <w:tcW w:w="3976" w:type="dxa"/>
            <w:tcBorders>
              <w:top w:val="single" w:color="auto" w:sz="12" w:space="0"/>
              <w:left w:val="nil"/>
              <w:bottom w:val="single" w:color="auto" w:sz="4" w:space="0"/>
              <w:right w:val="nil"/>
            </w:tcBorders>
            <w:shd w:val="clear" w:color="auto" w:fill="auto"/>
            <w:vAlign w:val="center"/>
          </w:tcPr>
          <w:p w14:paraId="0D855E0F">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测量指标</w:t>
            </w:r>
          </w:p>
        </w:tc>
      </w:tr>
      <w:tr w14:paraId="7CC98C34">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2126" w:type="dxa"/>
            <w:tcBorders>
              <w:top w:val="single" w:color="auto" w:sz="4" w:space="0"/>
              <w:left w:val="nil"/>
              <w:bottom w:val="nil"/>
              <w:right w:val="nil"/>
            </w:tcBorders>
            <w:shd w:val="clear" w:color="auto" w:fill="auto"/>
            <w:vAlign w:val="center"/>
          </w:tcPr>
          <w:p w14:paraId="365D10B0">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认知效果</w:t>
            </w:r>
          </w:p>
          <w:p w14:paraId="0BF05703">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Cognitive Effects</w:t>
            </w:r>
          </w:p>
        </w:tc>
        <w:tc>
          <w:tcPr>
            <w:tcW w:w="2420" w:type="dxa"/>
            <w:tcBorders>
              <w:top w:val="single" w:color="auto" w:sz="4" w:space="0"/>
              <w:left w:val="nil"/>
              <w:bottom w:val="nil"/>
              <w:right w:val="nil"/>
            </w:tcBorders>
            <w:shd w:val="clear" w:color="auto" w:fill="auto"/>
            <w:vAlign w:val="center"/>
          </w:tcPr>
          <w:p w14:paraId="2EC72F27">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衡量用户对传播内容的</w:t>
            </w:r>
            <w:r>
              <w:rPr>
                <w:rStyle w:val="15"/>
                <w:rFonts w:hint="eastAsia" w:asciiTheme="minorEastAsia" w:hAnsiTheme="minorEastAsia" w:eastAsiaTheme="minorEastAsia" w:cstheme="minorEastAsia"/>
                <w:b/>
                <w:bCs/>
              </w:rPr>
              <w:t>关注度与基础参与度</w:t>
            </w:r>
          </w:p>
        </w:tc>
        <w:tc>
          <w:tcPr>
            <w:tcW w:w="3976" w:type="dxa"/>
            <w:tcBorders>
              <w:top w:val="single" w:color="auto" w:sz="4" w:space="0"/>
              <w:left w:val="nil"/>
              <w:bottom w:val="nil"/>
              <w:right w:val="nil"/>
            </w:tcBorders>
            <w:shd w:val="clear" w:color="auto" w:fill="auto"/>
            <w:vAlign w:val="center"/>
          </w:tcPr>
          <w:p w14:paraId="53C92DD7">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各主题视频的</w:t>
            </w:r>
            <w:r>
              <w:rPr>
                <w:rStyle w:val="15"/>
                <w:rFonts w:hint="eastAsia" w:asciiTheme="minorEastAsia" w:hAnsiTheme="minorEastAsia" w:eastAsiaTheme="minorEastAsia" w:cstheme="minorEastAsia"/>
                <w:b/>
                <w:bCs/>
              </w:rPr>
              <w:t>评论数量</w:t>
            </w:r>
          </w:p>
          <w:p w14:paraId="689BC9BA">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各主题视频的</w:t>
            </w:r>
            <w:r>
              <w:rPr>
                <w:rStyle w:val="15"/>
                <w:rFonts w:hint="eastAsia" w:asciiTheme="minorEastAsia" w:hAnsiTheme="minorEastAsia" w:eastAsiaTheme="minorEastAsia" w:cstheme="minorEastAsia"/>
                <w:b/>
                <w:bCs/>
              </w:rPr>
              <w:t>平均点赞数</w:t>
            </w:r>
          </w:p>
        </w:tc>
      </w:tr>
      <w:tr w14:paraId="1A1CBF41">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2126" w:type="dxa"/>
            <w:tcBorders>
              <w:top w:val="nil"/>
              <w:left w:val="nil"/>
              <w:bottom w:val="nil"/>
              <w:right w:val="nil"/>
            </w:tcBorders>
            <w:shd w:val="clear" w:color="auto" w:fill="auto"/>
            <w:vAlign w:val="center"/>
          </w:tcPr>
          <w:p w14:paraId="00A13CEA">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情感效果</w:t>
            </w:r>
          </w:p>
          <w:p w14:paraId="77482640">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Emotional Effects</w:t>
            </w:r>
          </w:p>
        </w:tc>
        <w:tc>
          <w:tcPr>
            <w:tcW w:w="2420" w:type="dxa"/>
            <w:tcBorders>
              <w:top w:val="nil"/>
              <w:left w:val="nil"/>
              <w:bottom w:val="nil"/>
              <w:right w:val="nil"/>
            </w:tcBorders>
            <w:shd w:val="clear" w:color="auto" w:fill="auto"/>
            <w:vAlign w:val="center"/>
          </w:tcPr>
          <w:p w14:paraId="5D5B78BB">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解析用户对传播内容的</w:t>
            </w:r>
            <w:r>
              <w:rPr>
                <w:rStyle w:val="15"/>
                <w:rFonts w:hint="eastAsia" w:asciiTheme="minorEastAsia" w:hAnsiTheme="minorEastAsia" w:eastAsiaTheme="minorEastAsia" w:cstheme="minorEastAsia"/>
                <w:b/>
                <w:bCs/>
              </w:rPr>
              <w:t>情感反应结构与深度</w:t>
            </w:r>
          </w:p>
        </w:tc>
        <w:tc>
          <w:tcPr>
            <w:tcW w:w="3976" w:type="dxa"/>
            <w:tcBorders>
              <w:top w:val="nil"/>
              <w:left w:val="nil"/>
              <w:bottom w:val="nil"/>
              <w:right w:val="nil"/>
            </w:tcBorders>
            <w:shd w:val="clear" w:color="auto" w:fill="auto"/>
            <w:vAlign w:val="center"/>
          </w:tcPr>
          <w:p w14:paraId="2D2E71D2">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 </w:t>
            </w:r>
            <w:r>
              <w:rPr>
                <w:rStyle w:val="15"/>
                <w:rFonts w:hint="eastAsia" w:asciiTheme="minorEastAsia" w:hAnsiTheme="minorEastAsia" w:eastAsiaTheme="minorEastAsia" w:cstheme="minorEastAsia"/>
                <w:b/>
                <w:bCs/>
              </w:rPr>
              <w:t>正面率</w:t>
            </w:r>
            <w:r>
              <w:rPr>
                <w:rFonts w:hint="eastAsia" w:asciiTheme="minorEastAsia" w:hAnsiTheme="minorEastAsia" w:eastAsiaTheme="minorEastAsia" w:cstheme="minorEastAsia"/>
              </w:rPr>
              <w:t>与</w:t>
            </w:r>
            <w:r>
              <w:rPr>
                <w:rStyle w:val="15"/>
                <w:rFonts w:hint="eastAsia" w:asciiTheme="minorEastAsia" w:hAnsiTheme="minorEastAsia" w:eastAsiaTheme="minorEastAsia" w:cstheme="minorEastAsia"/>
                <w:b/>
                <w:bCs/>
              </w:rPr>
              <w:t>平均情感得分</w:t>
            </w:r>
          </w:p>
          <w:p w14:paraId="3D039CF9">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 </w:t>
            </w:r>
            <w:r>
              <w:rPr>
                <w:rStyle w:val="15"/>
                <w:rFonts w:hint="eastAsia" w:asciiTheme="minorEastAsia" w:hAnsiTheme="minorEastAsia" w:eastAsiaTheme="minorEastAsia" w:cstheme="minorEastAsia"/>
                <w:b/>
                <w:bCs/>
              </w:rPr>
              <w:t>深度情感分类</w:t>
            </w:r>
            <w:r>
              <w:rPr>
                <w:rFonts w:hint="eastAsia" w:asciiTheme="minorEastAsia" w:hAnsiTheme="minorEastAsia" w:eastAsiaTheme="minorEastAsia" w:cstheme="minorEastAsia"/>
              </w:rPr>
              <w:t>（文化自豪、情感共鸣、赞美认同）</w:t>
            </w:r>
          </w:p>
        </w:tc>
      </w:tr>
      <w:tr w14:paraId="629170F6">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2126" w:type="dxa"/>
            <w:tcBorders>
              <w:top w:val="nil"/>
              <w:left w:val="nil"/>
              <w:bottom w:val="nil"/>
              <w:right w:val="nil"/>
            </w:tcBorders>
            <w:shd w:val="clear" w:color="auto" w:fill="auto"/>
            <w:vAlign w:val="center"/>
          </w:tcPr>
          <w:p w14:paraId="45EA3940">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行为意向效果</w:t>
            </w:r>
          </w:p>
          <w:p w14:paraId="0BB493B9">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Behavioral Intention Effects</w:t>
            </w:r>
          </w:p>
        </w:tc>
        <w:tc>
          <w:tcPr>
            <w:tcW w:w="2420" w:type="dxa"/>
            <w:tcBorders>
              <w:top w:val="nil"/>
              <w:left w:val="nil"/>
              <w:bottom w:val="nil"/>
              <w:right w:val="nil"/>
            </w:tcBorders>
            <w:shd w:val="clear" w:color="auto" w:fill="auto"/>
            <w:vAlign w:val="center"/>
          </w:tcPr>
          <w:p w14:paraId="14CF16B7">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衡量文化传播是否激发用户的</w:t>
            </w:r>
            <w:r>
              <w:rPr>
                <w:rStyle w:val="15"/>
                <w:rFonts w:hint="eastAsia" w:asciiTheme="minorEastAsia" w:hAnsiTheme="minorEastAsia" w:eastAsiaTheme="minorEastAsia" w:cstheme="minorEastAsia"/>
                <w:b/>
                <w:bCs/>
              </w:rPr>
              <w:t>具体行为动机</w:t>
            </w:r>
            <w:r>
              <w:rPr>
                <w:rFonts w:hint="eastAsia" w:asciiTheme="minorEastAsia" w:hAnsiTheme="minorEastAsia" w:eastAsiaTheme="minorEastAsia" w:cstheme="minorEastAsia"/>
              </w:rPr>
              <w:t>，检验其</w:t>
            </w:r>
            <w:r>
              <w:rPr>
                <w:rStyle w:val="15"/>
                <w:rFonts w:hint="eastAsia" w:asciiTheme="minorEastAsia" w:hAnsiTheme="minorEastAsia" w:eastAsiaTheme="minorEastAsia" w:cstheme="minorEastAsia"/>
                <w:b/>
                <w:bCs/>
              </w:rPr>
              <w:t>行为转化潜力</w:t>
            </w:r>
          </w:p>
        </w:tc>
        <w:tc>
          <w:tcPr>
            <w:tcW w:w="3976" w:type="dxa"/>
            <w:tcBorders>
              <w:top w:val="nil"/>
              <w:left w:val="nil"/>
              <w:bottom w:val="nil"/>
              <w:right w:val="nil"/>
            </w:tcBorders>
            <w:shd w:val="clear" w:color="auto" w:fill="auto"/>
            <w:vAlign w:val="center"/>
          </w:tcPr>
          <w:p w14:paraId="4F19BDFF">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 </w:t>
            </w:r>
            <w:r>
              <w:rPr>
                <w:rStyle w:val="15"/>
                <w:rFonts w:hint="eastAsia" w:asciiTheme="minorEastAsia" w:hAnsiTheme="minorEastAsia" w:eastAsiaTheme="minorEastAsia" w:cstheme="minorEastAsia"/>
                <w:b/>
                <w:bCs/>
              </w:rPr>
              <w:t>旅游意愿</w:t>
            </w:r>
          </w:p>
          <w:p w14:paraId="16B3FDD1">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 </w:t>
            </w:r>
            <w:r>
              <w:rPr>
                <w:rStyle w:val="15"/>
                <w:rFonts w:hint="eastAsia" w:asciiTheme="minorEastAsia" w:hAnsiTheme="minorEastAsia" w:eastAsiaTheme="minorEastAsia" w:cstheme="minorEastAsia"/>
                <w:b/>
                <w:bCs/>
              </w:rPr>
              <w:t>搜索学习</w:t>
            </w:r>
            <w:r>
              <w:rPr>
                <w:rFonts w:hint="eastAsia" w:asciiTheme="minorEastAsia" w:hAnsiTheme="minorEastAsia" w:eastAsiaTheme="minorEastAsia" w:cstheme="minorEastAsia"/>
              </w:rPr>
              <w:t>意愿</w:t>
            </w:r>
          </w:p>
          <w:p w14:paraId="6D3453EB">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 </w:t>
            </w:r>
            <w:r>
              <w:rPr>
                <w:rStyle w:val="15"/>
                <w:rFonts w:hint="eastAsia" w:asciiTheme="minorEastAsia" w:hAnsiTheme="minorEastAsia" w:eastAsiaTheme="minorEastAsia" w:cstheme="minorEastAsia"/>
                <w:b/>
                <w:bCs/>
              </w:rPr>
              <w:t>传播意愿</w:t>
            </w:r>
          </w:p>
          <w:p w14:paraId="5C2D53B4">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 </w:t>
            </w:r>
            <w:r>
              <w:rPr>
                <w:rStyle w:val="15"/>
                <w:rFonts w:hint="eastAsia" w:asciiTheme="minorEastAsia" w:hAnsiTheme="minorEastAsia" w:eastAsiaTheme="minorEastAsia" w:cstheme="minorEastAsia"/>
                <w:b/>
                <w:bCs/>
              </w:rPr>
              <w:t>二次创作</w:t>
            </w:r>
            <w:r>
              <w:rPr>
                <w:rFonts w:hint="eastAsia" w:asciiTheme="minorEastAsia" w:hAnsiTheme="minorEastAsia" w:eastAsiaTheme="minorEastAsia" w:cstheme="minorEastAsia"/>
              </w:rPr>
              <w:t>意向</w:t>
            </w:r>
          </w:p>
        </w:tc>
      </w:tr>
      <w:tr w14:paraId="06FB84AA">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2126" w:type="dxa"/>
            <w:tcBorders>
              <w:top w:val="nil"/>
              <w:left w:val="nil"/>
              <w:bottom w:val="single" w:color="auto" w:sz="12" w:space="0"/>
              <w:right w:val="nil"/>
            </w:tcBorders>
            <w:shd w:val="clear" w:color="auto" w:fill="auto"/>
            <w:vAlign w:val="center"/>
          </w:tcPr>
          <w:p w14:paraId="21C28DFD">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传播主体效果</w:t>
            </w:r>
          </w:p>
          <w:p w14:paraId="516B6BC6">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Source Effects</w:t>
            </w:r>
          </w:p>
        </w:tc>
        <w:tc>
          <w:tcPr>
            <w:tcW w:w="2420" w:type="dxa"/>
            <w:tcBorders>
              <w:top w:val="nil"/>
              <w:left w:val="nil"/>
              <w:bottom w:val="single" w:color="auto" w:sz="12" w:space="0"/>
              <w:right w:val="nil"/>
            </w:tcBorders>
            <w:shd w:val="clear" w:color="auto" w:fill="auto"/>
            <w:vAlign w:val="center"/>
          </w:tcPr>
          <w:p w14:paraId="4B76F098">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探讨</w:t>
            </w:r>
            <w:r>
              <w:rPr>
                <w:rStyle w:val="15"/>
                <w:rFonts w:hint="eastAsia" w:asciiTheme="minorEastAsia" w:hAnsiTheme="minorEastAsia" w:eastAsiaTheme="minorEastAsia" w:cstheme="minorEastAsia"/>
                <w:b/>
                <w:bCs/>
              </w:rPr>
              <w:t>发布主体</w:t>
            </w:r>
            <w:r>
              <w:rPr>
                <w:rFonts w:hint="eastAsia" w:asciiTheme="minorEastAsia" w:hAnsiTheme="minorEastAsia" w:eastAsiaTheme="minorEastAsia" w:cstheme="minorEastAsia"/>
              </w:rPr>
              <w:t>（官方账号 vs. 个人账号）对传播效果的</w:t>
            </w:r>
            <w:r>
              <w:rPr>
                <w:rStyle w:val="15"/>
                <w:rFonts w:hint="eastAsia" w:asciiTheme="minorEastAsia" w:hAnsiTheme="minorEastAsia" w:eastAsiaTheme="minorEastAsia" w:cstheme="minorEastAsia"/>
                <w:b/>
                <w:bCs/>
              </w:rPr>
              <w:t>调节作用</w:t>
            </w:r>
          </w:p>
        </w:tc>
        <w:tc>
          <w:tcPr>
            <w:tcW w:w="3976" w:type="dxa"/>
            <w:tcBorders>
              <w:top w:val="nil"/>
              <w:left w:val="nil"/>
              <w:bottom w:val="single" w:color="auto" w:sz="12" w:space="0"/>
              <w:right w:val="nil"/>
            </w:tcBorders>
            <w:shd w:val="clear" w:color="auto" w:fill="auto"/>
            <w:vAlign w:val="center"/>
          </w:tcPr>
          <w:p w14:paraId="5447FC65">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 </w:t>
            </w:r>
            <w:r>
              <w:rPr>
                <w:rStyle w:val="15"/>
                <w:rFonts w:hint="eastAsia" w:asciiTheme="minorEastAsia" w:hAnsiTheme="minorEastAsia" w:eastAsiaTheme="minorEastAsia" w:cstheme="minorEastAsia"/>
                <w:b/>
                <w:bCs/>
              </w:rPr>
              <w:t>对比分析</w:t>
            </w:r>
            <w:r>
              <w:rPr>
                <w:rFonts w:hint="eastAsia" w:asciiTheme="minorEastAsia" w:hAnsiTheme="minorEastAsia" w:eastAsiaTheme="minorEastAsia" w:cstheme="minorEastAsia"/>
              </w:rPr>
              <w:t>官方账号与个人账号在以上三个维度上的表现差异</w:t>
            </w:r>
          </w:p>
        </w:tc>
      </w:tr>
    </w:tbl>
    <w:p w14:paraId="504656B9">
      <w:pPr>
        <w:pStyle w:val="6"/>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表 </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SEQ 表 \* ARABIC </w:instrText>
      </w:r>
      <w:r>
        <w:rPr>
          <w:rFonts w:hint="eastAsia" w:asciiTheme="minorEastAsia" w:hAnsiTheme="minorEastAsia" w:eastAsiaTheme="minorEastAsia" w:cstheme="minorEastAsia"/>
        </w:rPr>
        <w:fldChar w:fldCharType="separate"/>
      </w:r>
      <w:r>
        <w:rPr>
          <w:rFonts w:hint="eastAsia" w:asciiTheme="minorEastAsia" w:hAnsiTheme="minorEastAsia" w:eastAsiaTheme="minorEastAsia" w:cstheme="minorEastAsia"/>
        </w:rPr>
        <w:t>1</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val="en-US" w:eastAsia="zh-CN"/>
        </w:rPr>
        <w:t xml:space="preserve"> 文化传播效果四维分析框架</w:t>
      </w:r>
    </w:p>
    <w:p w14:paraId="4092B80B">
      <w:pPr>
        <w:pStyle w:val="4"/>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10" w:name="_Toc16313"/>
      <w:r>
        <w:rPr>
          <w:rFonts w:hint="eastAsia" w:asciiTheme="minorEastAsia" w:hAnsiTheme="minorEastAsia" w:eastAsiaTheme="minorEastAsia" w:cstheme="minorEastAsia"/>
        </w:rPr>
        <w:t>3.2 数据收集与处理</w:t>
      </w:r>
      <w:bookmarkEnd w:id="10"/>
    </w:p>
    <w:p w14:paraId="57CEEED1">
      <w:pPr>
        <w:pStyle w:val="5"/>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3.2.1 数据来源与样本筛选</w:t>
      </w:r>
    </w:p>
    <w:p w14:paraId="03899BEC">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本研究数据来源于 B站平台，通过爬虫工具抓取与《燕云十六声》“文化传播” 相关的视频评论，筛选标准如下：</w:t>
      </w:r>
    </w:p>
    <w:p w14:paraId="0D5E2B92">
      <w:pPr>
        <w:keepNext w:val="0"/>
        <w:keepLines w:val="0"/>
        <w:widowControl/>
        <w:numPr>
          <w:ilvl w:val="0"/>
          <w:numId w:val="4"/>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视频范围：包含“文化元素解读”“文旅联动”“技术复原文化”等主题，排除纯游戏攻略、吐槽类视频；</w:t>
      </w:r>
    </w:p>
    <w:p w14:paraId="42786C67">
      <w:pPr>
        <w:keepNext w:val="0"/>
        <w:keepLines w:val="0"/>
        <w:widowControl/>
        <w:numPr>
          <w:ilvl w:val="0"/>
          <w:numId w:val="4"/>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时间范围：覆盖游戏上线后关键传播周期，确保评论的时效性与代表性；</w:t>
      </w:r>
    </w:p>
    <w:p w14:paraId="57779F5B">
      <w:pPr>
        <w:keepNext w:val="0"/>
        <w:keepLines w:val="0"/>
        <w:widowControl/>
        <w:numPr>
          <w:ilvl w:val="0"/>
          <w:numId w:val="4"/>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评论筛选：剔除纯表情、广告、重复刷屏的无效评论，最终保留8899条有效评论，涉及14个核心视频。</w:t>
      </w:r>
    </w:p>
    <w:p w14:paraId="7D0F6272">
      <w:pPr>
        <w:pStyle w:val="5"/>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3.2.2 传播主题分类与样本构成</w:t>
      </w:r>
    </w:p>
    <w:p w14:paraId="0BE8E334">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根据视频内容，将14个视频及对应评论划分为6类传播主题，并统计各类主题的视频数量与评论数量（见表2）。从结果可见，6类主题的样本量差异显著：“深度叙事解读”评论量最多（2838条），“文旅融合体验”最少（58 条），样本量差异达48.9倍，反映用户对“文化叙事类”内容的关注远高于“线下联动类”内容。</w:t>
      </w:r>
    </w:p>
    <w:tbl>
      <w:tblPr>
        <w:tblStyle w:val="12"/>
        <w:tblW w:w="8521" w:type="dxa"/>
        <w:jc w:val="center"/>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Layout w:type="autofit"/>
        <w:tblCellMar>
          <w:top w:w="15" w:type="dxa"/>
          <w:left w:w="15" w:type="dxa"/>
          <w:bottom w:w="15" w:type="dxa"/>
          <w:right w:w="15" w:type="dxa"/>
        </w:tblCellMar>
      </w:tblPr>
      <w:tblGrid>
        <w:gridCol w:w="1634"/>
        <w:gridCol w:w="1152"/>
        <w:gridCol w:w="1152"/>
        <w:gridCol w:w="870"/>
        <w:gridCol w:w="3713"/>
      </w:tblGrid>
      <w:tr w14:paraId="515604A0">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tblHeader/>
          <w:jc w:val="center"/>
        </w:trPr>
        <w:tc>
          <w:tcPr>
            <w:tcW w:w="1634" w:type="dxa"/>
            <w:tcBorders>
              <w:top w:val="single" w:color="auto" w:sz="12" w:space="0"/>
              <w:left w:val="nil"/>
              <w:bottom w:val="single" w:color="auto" w:sz="4" w:space="0"/>
              <w:right w:val="nil"/>
            </w:tcBorders>
            <w:shd w:val="clear" w:color="auto" w:fill="auto"/>
            <w:vAlign w:val="center"/>
          </w:tcPr>
          <w:p w14:paraId="59CF9BD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传播主题</w:t>
            </w:r>
          </w:p>
        </w:tc>
        <w:tc>
          <w:tcPr>
            <w:tcW w:w="1152" w:type="dxa"/>
            <w:tcBorders>
              <w:top w:val="single" w:color="auto" w:sz="12" w:space="0"/>
              <w:left w:val="nil"/>
              <w:bottom w:val="single" w:color="auto" w:sz="4" w:space="0"/>
              <w:right w:val="nil"/>
            </w:tcBorders>
            <w:shd w:val="clear" w:color="auto" w:fill="auto"/>
            <w:vAlign w:val="center"/>
          </w:tcPr>
          <w:p w14:paraId="29AC410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视频数量</w:t>
            </w:r>
          </w:p>
        </w:tc>
        <w:tc>
          <w:tcPr>
            <w:tcW w:w="1152" w:type="dxa"/>
            <w:tcBorders>
              <w:top w:val="single" w:color="auto" w:sz="12" w:space="0"/>
              <w:left w:val="nil"/>
              <w:bottom w:val="single" w:color="auto" w:sz="4" w:space="0"/>
              <w:right w:val="nil"/>
            </w:tcBorders>
            <w:shd w:val="clear" w:color="auto" w:fill="auto"/>
            <w:vAlign w:val="center"/>
          </w:tcPr>
          <w:p w14:paraId="05EA1A1C">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评论数量</w:t>
            </w:r>
          </w:p>
        </w:tc>
        <w:tc>
          <w:tcPr>
            <w:tcW w:w="870" w:type="dxa"/>
            <w:tcBorders>
              <w:top w:val="single" w:color="auto" w:sz="12" w:space="0"/>
              <w:left w:val="nil"/>
              <w:bottom w:val="single" w:color="auto" w:sz="4" w:space="0"/>
              <w:right w:val="nil"/>
            </w:tcBorders>
            <w:shd w:val="clear" w:color="auto" w:fill="auto"/>
            <w:vAlign w:val="center"/>
          </w:tcPr>
          <w:p w14:paraId="3B6BC358">
            <w:pPr>
              <w:pStyle w:val="11"/>
              <w:keepNext w:val="0"/>
              <w:keepLines w:val="0"/>
              <w:widowControl/>
              <w:suppressLineNumbers w:val="0"/>
              <w:snapToGrid w:val="0"/>
              <w:spacing w:before="0" w:beforeAutospacing="0" w:after="0" w:afterAutospacing="0"/>
              <w:ind w:left="0" w:leftChars="0" w:right="0" w:rightChars="0" w:firstLine="0" w:firstLineChars="0"/>
              <w:jc w:val="center"/>
              <w:rPr>
                <w:rStyle w:val="15"/>
                <w:rFonts w:hint="eastAsia" w:asciiTheme="minorEastAsia" w:hAnsiTheme="minorEastAsia" w:eastAsiaTheme="minorEastAsia" w:cstheme="minorEastAsia"/>
                <w:b/>
                <w:bCs/>
              </w:rPr>
            </w:pPr>
            <w:r>
              <w:rPr>
                <w:rStyle w:val="15"/>
                <w:rFonts w:hint="eastAsia" w:asciiTheme="minorEastAsia" w:hAnsiTheme="minorEastAsia" w:eastAsiaTheme="minorEastAsia" w:cstheme="minorEastAsia"/>
                <w:b/>
                <w:bCs/>
              </w:rPr>
              <w:t>占比</w:t>
            </w:r>
          </w:p>
          <w:p w14:paraId="30C39A60">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w:t>
            </w:r>
          </w:p>
        </w:tc>
        <w:tc>
          <w:tcPr>
            <w:tcW w:w="3713" w:type="dxa"/>
            <w:tcBorders>
              <w:top w:val="single" w:color="auto" w:sz="12" w:space="0"/>
              <w:left w:val="nil"/>
              <w:bottom w:val="single" w:color="auto" w:sz="4" w:space="0"/>
              <w:right w:val="nil"/>
            </w:tcBorders>
            <w:shd w:val="clear" w:color="auto" w:fill="auto"/>
            <w:vAlign w:val="center"/>
          </w:tcPr>
          <w:p w14:paraId="7E9E1DE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代表视频案例</w:t>
            </w:r>
          </w:p>
        </w:tc>
      </w:tr>
      <w:tr w14:paraId="2776A264">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634" w:type="dxa"/>
            <w:tcBorders>
              <w:top w:val="single" w:color="auto" w:sz="4" w:space="0"/>
              <w:left w:val="nil"/>
              <w:bottom w:val="nil"/>
              <w:right w:val="nil"/>
            </w:tcBorders>
            <w:shd w:val="clear" w:color="auto" w:fill="auto"/>
            <w:vAlign w:val="center"/>
          </w:tcPr>
          <w:p w14:paraId="59D2099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核心文化传承</w:t>
            </w:r>
          </w:p>
        </w:tc>
        <w:tc>
          <w:tcPr>
            <w:tcW w:w="1152" w:type="dxa"/>
            <w:tcBorders>
              <w:top w:val="single" w:color="auto" w:sz="4" w:space="0"/>
              <w:left w:val="nil"/>
              <w:bottom w:val="nil"/>
              <w:right w:val="nil"/>
            </w:tcBorders>
            <w:shd w:val="clear" w:color="auto" w:fill="auto"/>
            <w:vAlign w:val="center"/>
          </w:tcPr>
          <w:p w14:paraId="187D0B3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w:t>
            </w:r>
          </w:p>
        </w:tc>
        <w:tc>
          <w:tcPr>
            <w:tcW w:w="1152" w:type="dxa"/>
            <w:tcBorders>
              <w:top w:val="single" w:color="auto" w:sz="4" w:space="0"/>
              <w:left w:val="nil"/>
              <w:bottom w:val="nil"/>
              <w:right w:val="nil"/>
            </w:tcBorders>
            <w:shd w:val="clear" w:color="auto" w:fill="auto"/>
            <w:vAlign w:val="center"/>
          </w:tcPr>
          <w:p w14:paraId="5F83A4A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2,705</w:t>
            </w:r>
          </w:p>
        </w:tc>
        <w:tc>
          <w:tcPr>
            <w:tcW w:w="870" w:type="dxa"/>
            <w:tcBorders>
              <w:top w:val="single" w:color="auto" w:sz="4" w:space="0"/>
              <w:left w:val="nil"/>
              <w:bottom w:val="nil"/>
              <w:right w:val="nil"/>
            </w:tcBorders>
            <w:shd w:val="clear" w:color="auto" w:fill="auto"/>
            <w:vAlign w:val="center"/>
          </w:tcPr>
          <w:p w14:paraId="7C22A3FE">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30.4%</w:t>
            </w:r>
          </w:p>
        </w:tc>
        <w:tc>
          <w:tcPr>
            <w:tcW w:w="3713" w:type="dxa"/>
            <w:tcBorders>
              <w:top w:val="single" w:color="auto" w:sz="4" w:space="0"/>
              <w:left w:val="nil"/>
              <w:bottom w:val="nil"/>
              <w:right w:val="nil"/>
            </w:tcBorders>
            <w:shd w:val="clear" w:color="auto" w:fill="auto"/>
            <w:vAlign w:val="center"/>
          </w:tcPr>
          <w:p w14:paraId="242B7A07">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侠者游吟·音乐创作幕后、丹青溯梦·敦煌画院联动、《归舟》群像MV·谭晶献唱</w:t>
            </w:r>
          </w:p>
        </w:tc>
      </w:tr>
      <w:tr w14:paraId="7CC429C4">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634" w:type="dxa"/>
            <w:tcBorders>
              <w:top w:val="nil"/>
              <w:left w:val="nil"/>
              <w:bottom w:val="nil"/>
              <w:right w:val="nil"/>
            </w:tcBorders>
            <w:shd w:val="clear" w:color="auto" w:fill="auto"/>
            <w:vAlign w:val="center"/>
          </w:tcPr>
          <w:p w14:paraId="333B66D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深度叙事解读</w:t>
            </w:r>
          </w:p>
        </w:tc>
        <w:tc>
          <w:tcPr>
            <w:tcW w:w="1152" w:type="dxa"/>
            <w:tcBorders>
              <w:top w:val="nil"/>
              <w:left w:val="nil"/>
              <w:bottom w:val="nil"/>
              <w:right w:val="nil"/>
            </w:tcBorders>
            <w:shd w:val="clear" w:color="auto" w:fill="auto"/>
            <w:vAlign w:val="center"/>
          </w:tcPr>
          <w:p w14:paraId="6711C0A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4</w:t>
            </w:r>
          </w:p>
        </w:tc>
        <w:tc>
          <w:tcPr>
            <w:tcW w:w="1152" w:type="dxa"/>
            <w:tcBorders>
              <w:top w:val="nil"/>
              <w:left w:val="nil"/>
              <w:bottom w:val="nil"/>
              <w:right w:val="nil"/>
            </w:tcBorders>
            <w:shd w:val="clear" w:color="auto" w:fill="auto"/>
            <w:vAlign w:val="center"/>
          </w:tcPr>
          <w:p w14:paraId="78847D4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2,838</w:t>
            </w:r>
          </w:p>
        </w:tc>
        <w:tc>
          <w:tcPr>
            <w:tcW w:w="870" w:type="dxa"/>
            <w:tcBorders>
              <w:top w:val="nil"/>
              <w:left w:val="nil"/>
              <w:bottom w:val="nil"/>
              <w:right w:val="nil"/>
            </w:tcBorders>
            <w:shd w:val="clear" w:color="auto" w:fill="auto"/>
            <w:vAlign w:val="center"/>
          </w:tcPr>
          <w:p w14:paraId="6E908BB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31.9%</w:t>
            </w:r>
          </w:p>
        </w:tc>
        <w:tc>
          <w:tcPr>
            <w:tcW w:w="3713" w:type="dxa"/>
            <w:tcBorders>
              <w:top w:val="nil"/>
              <w:left w:val="nil"/>
              <w:bottom w:val="nil"/>
              <w:right w:val="nil"/>
            </w:tcBorders>
            <w:shd w:val="clear" w:color="auto" w:fill="auto"/>
            <w:vAlign w:val="center"/>
          </w:tcPr>
          <w:p w14:paraId="1794FAD6">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能够得着3A的故事、一个人的白头城、完美押题高考、独属中国的悲壮史诗</w:t>
            </w:r>
          </w:p>
        </w:tc>
      </w:tr>
      <w:tr w14:paraId="3961E57D">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634" w:type="dxa"/>
            <w:tcBorders>
              <w:top w:val="nil"/>
              <w:left w:val="nil"/>
              <w:bottom w:val="nil"/>
              <w:right w:val="nil"/>
            </w:tcBorders>
            <w:shd w:val="clear" w:color="auto" w:fill="auto"/>
            <w:vAlign w:val="center"/>
          </w:tcPr>
          <w:p w14:paraId="790DC0E6">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社会责任实践</w:t>
            </w:r>
          </w:p>
        </w:tc>
        <w:tc>
          <w:tcPr>
            <w:tcW w:w="1152" w:type="dxa"/>
            <w:tcBorders>
              <w:top w:val="nil"/>
              <w:left w:val="nil"/>
              <w:bottom w:val="nil"/>
              <w:right w:val="nil"/>
            </w:tcBorders>
            <w:shd w:val="clear" w:color="auto" w:fill="auto"/>
            <w:vAlign w:val="center"/>
          </w:tcPr>
          <w:p w14:paraId="62E8F5F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w:t>
            </w:r>
          </w:p>
        </w:tc>
        <w:tc>
          <w:tcPr>
            <w:tcW w:w="1152" w:type="dxa"/>
            <w:tcBorders>
              <w:top w:val="nil"/>
              <w:left w:val="nil"/>
              <w:bottom w:val="nil"/>
              <w:right w:val="nil"/>
            </w:tcBorders>
            <w:shd w:val="clear" w:color="auto" w:fill="auto"/>
            <w:vAlign w:val="center"/>
          </w:tcPr>
          <w:p w14:paraId="54ACB13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1,473</w:t>
            </w:r>
          </w:p>
        </w:tc>
        <w:tc>
          <w:tcPr>
            <w:tcW w:w="870" w:type="dxa"/>
            <w:tcBorders>
              <w:top w:val="nil"/>
              <w:left w:val="nil"/>
              <w:bottom w:val="nil"/>
              <w:right w:val="nil"/>
            </w:tcBorders>
            <w:shd w:val="clear" w:color="auto" w:fill="auto"/>
            <w:vAlign w:val="center"/>
          </w:tcPr>
          <w:p w14:paraId="674FF06F">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16.6%</w:t>
            </w:r>
          </w:p>
        </w:tc>
        <w:tc>
          <w:tcPr>
            <w:tcW w:w="3713" w:type="dxa"/>
            <w:tcBorders>
              <w:top w:val="nil"/>
              <w:left w:val="nil"/>
              <w:bottom w:val="nil"/>
              <w:right w:val="nil"/>
            </w:tcBorders>
            <w:shd w:val="clear" w:color="auto" w:fill="auto"/>
            <w:vAlign w:val="center"/>
          </w:tcPr>
          <w:p w14:paraId="059F5A12">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专家捕快上岗、银天使计划公益、燕云第二天震惊体验</w:t>
            </w:r>
          </w:p>
        </w:tc>
      </w:tr>
      <w:tr w14:paraId="5A7B6941">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634" w:type="dxa"/>
            <w:tcBorders>
              <w:top w:val="nil"/>
              <w:left w:val="nil"/>
              <w:bottom w:val="nil"/>
              <w:right w:val="nil"/>
            </w:tcBorders>
            <w:shd w:val="clear" w:color="auto" w:fill="auto"/>
            <w:vAlign w:val="center"/>
          </w:tcPr>
          <w:p w14:paraId="1A3FB9F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技术创新展示</w:t>
            </w:r>
          </w:p>
        </w:tc>
        <w:tc>
          <w:tcPr>
            <w:tcW w:w="1152" w:type="dxa"/>
            <w:tcBorders>
              <w:top w:val="nil"/>
              <w:left w:val="nil"/>
              <w:bottom w:val="nil"/>
              <w:right w:val="nil"/>
            </w:tcBorders>
            <w:shd w:val="clear" w:color="auto" w:fill="auto"/>
            <w:vAlign w:val="center"/>
          </w:tcPr>
          <w:p w14:paraId="7878B8C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w:t>
            </w:r>
          </w:p>
        </w:tc>
        <w:tc>
          <w:tcPr>
            <w:tcW w:w="1152" w:type="dxa"/>
            <w:tcBorders>
              <w:top w:val="nil"/>
              <w:left w:val="nil"/>
              <w:bottom w:val="nil"/>
              <w:right w:val="nil"/>
            </w:tcBorders>
            <w:shd w:val="clear" w:color="auto" w:fill="auto"/>
            <w:vAlign w:val="center"/>
          </w:tcPr>
          <w:p w14:paraId="721F249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748</w:t>
            </w:r>
          </w:p>
        </w:tc>
        <w:tc>
          <w:tcPr>
            <w:tcW w:w="870" w:type="dxa"/>
            <w:tcBorders>
              <w:top w:val="nil"/>
              <w:left w:val="nil"/>
              <w:bottom w:val="nil"/>
              <w:right w:val="nil"/>
            </w:tcBorders>
            <w:shd w:val="clear" w:color="auto" w:fill="auto"/>
            <w:vAlign w:val="center"/>
          </w:tcPr>
          <w:p w14:paraId="091F103E">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8.4%</w:t>
            </w:r>
          </w:p>
        </w:tc>
        <w:tc>
          <w:tcPr>
            <w:tcW w:w="3713" w:type="dxa"/>
            <w:tcBorders>
              <w:top w:val="nil"/>
              <w:left w:val="nil"/>
              <w:bottom w:val="nil"/>
              <w:right w:val="nil"/>
            </w:tcBorders>
            <w:shd w:val="clear" w:color="auto" w:fill="auto"/>
            <w:vAlign w:val="center"/>
          </w:tcPr>
          <w:p w14:paraId="4214352B">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顶级武术指导幕后、藏在数值里的音律密码</w:t>
            </w:r>
          </w:p>
        </w:tc>
      </w:tr>
      <w:tr w14:paraId="401B62D8">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634" w:type="dxa"/>
            <w:tcBorders>
              <w:top w:val="nil"/>
              <w:left w:val="nil"/>
              <w:bottom w:val="nil"/>
              <w:right w:val="nil"/>
            </w:tcBorders>
            <w:shd w:val="clear" w:color="auto" w:fill="auto"/>
            <w:vAlign w:val="center"/>
          </w:tcPr>
          <w:p w14:paraId="5D69B4D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文旅融合体验</w:t>
            </w:r>
          </w:p>
        </w:tc>
        <w:tc>
          <w:tcPr>
            <w:tcW w:w="1152" w:type="dxa"/>
            <w:tcBorders>
              <w:top w:val="nil"/>
              <w:left w:val="nil"/>
              <w:bottom w:val="nil"/>
              <w:right w:val="nil"/>
            </w:tcBorders>
            <w:shd w:val="clear" w:color="auto" w:fill="auto"/>
            <w:vAlign w:val="center"/>
          </w:tcPr>
          <w:p w14:paraId="3516D64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w:t>
            </w:r>
          </w:p>
        </w:tc>
        <w:tc>
          <w:tcPr>
            <w:tcW w:w="1152" w:type="dxa"/>
            <w:tcBorders>
              <w:top w:val="nil"/>
              <w:left w:val="nil"/>
              <w:bottom w:val="nil"/>
              <w:right w:val="nil"/>
            </w:tcBorders>
            <w:shd w:val="clear" w:color="auto" w:fill="auto"/>
            <w:vAlign w:val="center"/>
          </w:tcPr>
          <w:p w14:paraId="196DDDA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58</w:t>
            </w:r>
          </w:p>
        </w:tc>
        <w:tc>
          <w:tcPr>
            <w:tcW w:w="870" w:type="dxa"/>
            <w:tcBorders>
              <w:top w:val="nil"/>
              <w:left w:val="nil"/>
              <w:bottom w:val="nil"/>
              <w:right w:val="nil"/>
            </w:tcBorders>
            <w:shd w:val="clear" w:color="auto" w:fill="auto"/>
            <w:vAlign w:val="center"/>
          </w:tcPr>
          <w:p w14:paraId="7591E40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0.7%</w:t>
            </w:r>
          </w:p>
        </w:tc>
        <w:tc>
          <w:tcPr>
            <w:tcW w:w="3713" w:type="dxa"/>
            <w:tcBorders>
              <w:top w:val="nil"/>
              <w:left w:val="nil"/>
              <w:bottom w:val="nil"/>
              <w:right w:val="nil"/>
            </w:tcBorders>
            <w:shd w:val="clear" w:color="auto" w:fill="auto"/>
            <w:vAlign w:val="center"/>
          </w:tcPr>
          <w:p w14:paraId="19B45243">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从敦煌走到凉州</w:t>
            </w:r>
          </w:p>
        </w:tc>
      </w:tr>
      <w:tr w14:paraId="4ECF4ABA">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634" w:type="dxa"/>
            <w:tcBorders>
              <w:top w:val="nil"/>
              <w:left w:val="nil"/>
              <w:bottom w:val="nil"/>
              <w:right w:val="nil"/>
            </w:tcBorders>
            <w:shd w:val="clear" w:color="auto" w:fill="auto"/>
            <w:vAlign w:val="center"/>
          </w:tcPr>
          <w:p w14:paraId="34E054F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Style w:val="15"/>
                <w:rFonts w:hint="eastAsia" w:asciiTheme="minorEastAsia" w:hAnsiTheme="minorEastAsia" w:eastAsiaTheme="minorEastAsia" w:cstheme="minorEastAsia"/>
                <w:b/>
                <w:bCs/>
              </w:rPr>
              <w:t>社会议题探讨</w:t>
            </w:r>
          </w:p>
        </w:tc>
        <w:tc>
          <w:tcPr>
            <w:tcW w:w="1152" w:type="dxa"/>
            <w:tcBorders>
              <w:top w:val="nil"/>
              <w:left w:val="nil"/>
              <w:bottom w:val="nil"/>
              <w:right w:val="nil"/>
            </w:tcBorders>
            <w:shd w:val="clear" w:color="auto" w:fill="auto"/>
            <w:vAlign w:val="center"/>
          </w:tcPr>
          <w:p w14:paraId="6FE10171">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w:t>
            </w:r>
          </w:p>
        </w:tc>
        <w:tc>
          <w:tcPr>
            <w:tcW w:w="1152" w:type="dxa"/>
            <w:tcBorders>
              <w:top w:val="nil"/>
              <w:left w:val="nil"/>
              <w:bottom w:val="nil"/>
              <w:right w:val="nil"/>
            </w:tcBorders>
            <w:shd w:val="clear" w:color="auto" w:fill="auto"/>
            <w:vAlign w:val="center"/>
          </w:tcPr>
          <w:p w14:paraId="38845A5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1,077</w:t>
            </w:r>
          </w:p>
        </w:tc>
        <w:tc>
          <w:tcPr>
            <w:tcW w:w="870" w:type="dxa"/>
            <w:tcBorders>
              <w:top w:val="nil"/>
              <w:left w:val="nil"/>
              <w:bottom w:val="nil"/>
              <w:right w:val="nil"/>
            </w:tcBorders>
            <w:shd w:val="clear" w:color="auto" w:fill="auto"/>
            <w:vAlign w:val="center"/>
          </w:tcPr>
          <w:p w14:paraId="1A9DA82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12.1%</w:t>
            </w:r>
          </w:p>
        </w:tc>
        <w:tc>
          <w:tcPr>
            <w:tcW w:w="3713" w:type="dxa"/>
            <w:tcBorders>
              <w:top w:val="nil"/>
              <w:left w:val="nil"/>
              <w:bottom w:val="nil"/>
              <w:right w:val="nil"/>
            </w:tcBorders>
            <w:shd w:val="clear" w:color="auto" w:fill="auto"/>
            <w:vAlign w:val="center"/>
          </w:tcPr>
          <w:p w14:paraId="5F798966">
            <w:pPr>
              <w:pStyle w:val="11"/>
              <w:keepNext w:val="0"/>
              <w:keepLines w:val="0"/>
              <w:widowControl/>
              <w:suppressLineNumbers w:val="0"/>
              <w:snapToGrid w:val="0"/>
              <w:spacing w:before="0" w:beforeAutospacing="0" w:after="0" w:afterAutospacing="0"/>
              <w:ind w:left="0" w:leftChars="0" w:right="0" w:rightChars="0"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为什么敢把这么多孩子扔进故事里</w:t>
            </w:r>
          </w:p>
        </w:tc>
      </w:tr>
      <w:tr w14:paraId="3E619630">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634" w:type="dxa"/>
            <w:tcBorders>
              <w:top w:val="nil"/>
              <w:left w:val="nil"/>
              <w:bottom w:val="single" w:color="auto" w:sz="12" w:space="0"/>
              <w:right w:val="nil"/>
            </w:tcBorders>
            <w:shd w:val="clear" w:color="auto" w:fill="auto"/>
            <w:vAlign w:val="center"/>
          </w:tcPr>
          <w:p w14:paraId="46415693">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总计</w:t>
            </w:r>
          </w:p>
        </w:tc>
        <w:tc>
          <w:tcPr>
            <w:tcW w:w="1152" w:type="dxa"/>
            <w:tcBorders>
              <w:top w:val="nil"/>
              <w:left w:val="nil"/>
              <w:bottom w:val="single" w:color="auto" w:sz="12" w:space="0"/>
              <w:right w:val="nil"/>
            </w:tcBorders>
            <w:shd w:val="clear" w:color="auto" w:fill="auto"/>
            <w:vAlign w:val="center"/>
          </w:tcPr>
          <w:p w14:paraId="2FD4256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14</w:t>
            </w:r>
          </w:p>
        </w:tc>
        <w:tc>
          <w:tcPr>
            <w:tcW w:w="1152" w:type="dxa"/>
            <w:tcBorders>
              <w:top w:val="nil"/>
              <w:left w:val="nil"/>
              <w:bottom w:val="single" w:color="auto" w:sz="12" w:space="0"/>
              <w:right w:val="nil"/>
            </w:tcBorders>
            <w:shd w:val="clear" w:color="auto" w:fill="auto"/>
            <w:vAlign w:val="center"/>
          </w:tcPr>
          <w:p w14:paraId="4AD75AF1">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8,899</w:t>
            </w:r>
          </w:p>
        </w:tc>
        <w:tc>
          <w:tcPr>
            <w:tcW w:w="870" w:type="dxa"/>
            <w:tcBorders>
              <w:top w:val="nil"/>
              <w:left w:val="nil"/>
              <w:bottom w:val="single" w:color="auto" w:sz="12" w:space="0"/>
              <w:right w:val="nil"/>
            </w:tcBorders>
            <w:shd w:val="clear" w:color="auto" w:fill="auto"/>
            <w:vAlign w:val="center"/>
          </w:tcPr>
          <w:p w14:paraId="119ED3A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100.0%</w:t>
            </w:r>
          </w:p>
        </w:tc>
        <w:tc>
          <w:tcPr>
            <w:tcW w:w="3713" w:type="dxa"/>
            <w:tcBorders>
              <w:top w:val="nil"/>
              <w:left w:val="nil"/>
              <w:bottom w:val="single" w:color="auto" w:sz="12" w:space="0"/>
              <w:right w:val="nil"/>
            </w:tcBorders>
            <w:shd w:val="clear" w:color="auto" w:fill="auto"/>
            <w:vAlign w:val="center"/>
          </w:tcPr>
          <w:p w14:paraId="30B3E8E1">
            <w:pPr>
              <w:snapToGrid w:val="0"/>
              <w:ind w:left="0" w:leftChars="0" w:right="0" w:rightChars="0" w:firstLine="0" w:firstLineChars="0"/>
              <w:jc w:val="left"/>
              <w:rPr>
                <w:rFonts w:hint="eastAsia" w:asciiTheme="minorEastAsia" w:hAnsiTheme="minorEastAsia" w:eastAsiaTheme="minorEastAsia" w:cstheme="minorEastAsia"/>
                <w:b/>
                <w:sz w:val="24"/>
                <w:szCs w:val="24"/>
              </w:rPr>
            </w:pPr>
          </w:p>
        </w:tc>
      </w:tr>
    </w:tbl>
    <w:p w14:paraId="3BFF58A9">
      <w:pPr>
        <w:pStyle w:val="6"/>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表 </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SEQ 表 \* ARABIC </w:instrText>
      </w:r>
      <w:r>
        <w:rPr>
          <w:rFonts w:hint="eastAsia" w:asciiTheme="minorEastAsia" w:hAnsiTheme="minorEastAsia" w:eastAsiaTheme="minorEastAsia" w:cstheme="minorEastAsia"/>
        </w:rPr>
        <w:fldChar w:fldCharType="separate"/>
      </w:r>
      <w:r>
        <w:rPr>
          <w:rFonts w:hint="eastAsia" w:asciiTheme="minorEastAsia" w:hAnsiTheme="minorEastAsia" w:eastAsiaTheme="minorEastAsia" w:cstheme="minorEastAsia"/>
        </w:rPr>
        <w:t>2</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val="en-US" w:eastAsia="zh-CN"/>
        </w:rPr>
        <w:t xml:space="preserve"> </w:t>
      </w:r>
      <w:r>
        <w:rPr>
          <w:rFonts w:hint="eastAsia" w:asciiTheme="minorEastAsia" w:hAnsiTheme="minorEastAsia" w:eastAsiaTheme="minorEastAsia" w:cstheme="minorEastAsia"/>
        </w:rPr>
        <w:t>视频样本构成与传播主题分类</w:t>
      </w:r>
    </w:p>
    <w:p w14:paraId="313A0307">
      <w:pPr>
        <w:pStyle w:val="5"/>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3.2.3 数据处理步骤</w:t>
      </w:r>
    </w:p>
    <w:p w14:paraId="1C630C25">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本研究的数据处理分为5个核心步骤，确保分析的准确性与系统性：</w:t>
      </w:r>
    </w:p>
    <w:p w14:paraId="535111C4">
      <w:pPr>
        <w:keepNext w:val="0"/>
        <w:keepLines w:val="0"/>
        <w:widowControl/>
        <w:numPr>
          <w:ilvl w:val="0"/>
          <w:numId w:val="5"/>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数据清洗：剔除无效评论，统一文本编码格式，建立“视频 - 评论 - 主题”的对应关系；</w:t>
      </w:r>
    </w:p>
    <w:p w14:paraId="5909E690">
      <w:pPr>
        <w:keepNext w:val="0"/>
        <w:keepLines w:val="0"/>
        <w:widowControl/>
        <w:numPr>
          <w:ilvl w:val="0"/>
          <w:numId w:val="5"/>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情感分析：基于“通用情感词典 + 游戏文化专属词汇”（如“排面”“文化自信”），计算每条评论的情感极性，得到“原始正面率”；结合评论的点赞数赋予权重，计算 “加权正面率”（点赞数越高，权重越大）；</w:t>
      </w:r>
    </w:p>
    <w:p w14:paraId="341F59C9">
      <w:pPr>
        <w:keepNext w:val="0"/>
        <w:keepLines w:val="0"/>
        <w:widowControl/>
        <w:numPr>
          <w:ilvl w:val="0"/>
          <w:numId w:val="5"/>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深度情感标注：对正面评论进行人工与机器结合的标注，识别“文化自豪”“情感共鸣”“赞美认同”三类深度情感，统计“深度情感比例”（深度情感评论数/总正面评论数）；</w:t>
      </w:r>
    </w:p>
    <w:p w14:paraId="6D187A80">
      <w:pPr>
        <w:keepNext w:val="0"/>
        <w:keepLines w:val="0"/>
        <w:widowControl/>
        <w:numPr>
          <w:ilvl w:val="0"/>
          <w:numId w:val="5"/>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行为意向标注：标注评论中“旅游意愿”（如“想去敦煌看看”）、“搜索学习意愿”（如“查一下这段历史”）、“二次创作意愿”（如“想画游戏角色”），计算“行为意向比例”（含行为意向评论数/总评论数）；</w:t>
      </w:r>
    </w:p>
    <w:p w14:paraId="60C11E17">
      <w:pPr>
        <w:keepNext w:val="0"/>
        <w:keepLines w:val="0"/>
        <w:widowControl/>
        <w:numPr>
          <w:ilvl w:val="0"/>
          <w:numId w:val="5"/>
        </w:numPr>
        <w:suppressLineNumbers w:val="0"/>
        <w:pBdr>
          <w:left w:val="none" w:color="auto" w:sz="0" w:space="0"/>
        </w:pBdr>
        <w:spacing w:before="0" w:beforeAutospacing="1" w:after="0" w:afterAutospacing="1"/>
        <w:ind w:left="720" w:hanging="294"/>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rPr>
        <w:t>统计整合：将上述指标按“传播主题”分类汇总，生成“传播主题统计分析表”与可视化图表。</w:t>
      </w:r>
    </w:p>
    <w:p w14:paraId="36E53C29">
      <w:pPr>
        <w:pStyle w:val="11"/>
        <w:keepNext w:val="0"/>
        <w:keepLines w:val="0"/>
        <w:widowControl/>
        <w:suppressLineNumbers w:val="0"/>
        <w:spacing w:before="0" w:beforeAutospacing="1" w:after="0" w:afterAutospacing="1"/>
        <w:ind w:left="0" w:right="0"/>
        <w:jc w:val="left"/>
      </w:pPr>
      <w:r>
        <w:t>在情感词典构建方面，本研究采用领域适应性策略，以金融情绪词典[5]为基础框架，结合游戏文化传播的语境特点进行优化扩充。参考[1]提出的PMI与Word2Vec融合方法，针对B站游戏评论中常见的情感表达词汇进行针对性补充：</w:t>
      </w:r>
    </w:p>
    <w:p w14:paraId="388AA871">
      <w:pPr>
        <w:pStyle w:val="11"/>
        <w:keepNext w:val="0"/>
        <w:keepLines w:val="0"/>
        <w:widowControl/>
        <w:suppressLineNumbers w:val="0"/>
        <w:spacing w:before="0" w:beforeAutospacing="1" w:after="0" w:afterAutospacing="1"/>
        <w:ind w:left="0" w:right="0"/>
        <w:jc w:val="left"/>
      </w:pPr>
      <w:r>
        <w:rPr>
          <w:rStyle w:val="15"/>
          <w:b/>
          <w:bCs/>
        </w:rPr>
        <w:t>正向情感词扩充</w:t>
      </w:r>
      <w:r>
        <w:t>：</w:t>
      </w:r>
      <w:r>
        <w:rPr>
          <w:rFonts w:hint="eastAsia"/>
        </w:rPr>
        <w:t>在基础正向词库基础上，新增“泪目”“排面”“文化自信”“震撼”“惊艳”“自豪”“传承”“精髓”等24个游戏文化评论高频词汇</w:t>
      </w:r>
      <w:r>
        <w:t>；</w:t>
      </w:r>
    </w:p>
    <w:p w14:paraId="25BEC4C3">
      <w:pPr>
        <w:pStyle w:val="11"/>
        <w:keepNext w:val="0"/>
        <w:keepLines w:val="0"/>
        <w:widowControl/>
        <w:suppressLineNumbers w:val="0"/>
        <w:spacing w:before="0" w:beforeAutospacing="1" w:after="0" w:afterAutospacing="1"/>
        <w:ind w:left="0" w:right="0"/>
        <w:jc w:val="left"/>
      </w:pPr>
      <w:r>
        <w:rPr>
          <w:rStyle w:val="15"/>
          <w:b/>
          <w:bCs/>
        </w:rPr>
        <w:t>负向情感词扩充</w:t>
      </w:r>
      <w:r>
        <w:t>：</w:t>
      </w:r>
      <w:r>
        <w:rPr>
          <w:rFonts w:hint="eastAsia"/>
        </w:rPr>
        <w:t>补充“堆砌”“空洞”“噱头”“肤浅”“弃坑”“bug”等18个游戏领域特定负面表达</w:t>
      </w:r>
      <w:r>
        <w:t>；</w:t>
      </w:r>
    </w:p>
    <w:p w14:paraId="2570245C">
      <w:pPr>
        <w:pStyle w:val="11"/>
        <w:keepNext w:val="0"/>
        <w:keepLines w:val="0"/>
        <w:widowControl/>
        <w:suppressLineNumbers w:val="0"/>
        <w:spacing w:before="0" w:beforeAutospacing="1" w:after="0" w:afterAutospacing="1"/>
        <w:ind w:left="0" w:right="0"/>
        <w:jc w:val="left"/>
      </w:pPr>
      <w:r>
        <w:rPr>
          <w:rStyle w:val="15"/>
          <w:b/>
          <w:bCs/>
        </w:rPr>
        <w:t>深度情感标识词</w:t>
      </w:r>
      <w:r>
        <w:t>：</w:t>
      </w:r>
      <w:r>
        <w:rPr>
          <w:rFonts w:hint="eastAsia"/>
        </w:rPr>
        <w:t>为深度情感分析专门设置“文化自豪”类标识词（如“老祖宗”“传统文化”“民族”）、“情感共鸣”类标识词（如“感动”“哭了”“触动”）、“赞美认同”类标识词（如“牛逼”“绝了”“顶级”</w:t>
      </w:r>
      <w:r>
        <w:t>）。</w:t>
      </w:r>
    </w:p>
    <w:p w14:paraId="2E8D5332">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sz w:val="24"/>
          <w:szCs w:val="24"/>
        </w:rPr>
      </w:pPr>
      <w:r>
        <w:t>经测试，优化后的领域词典在游戏文化评论情感分类中的准确率较通用词典提升约23.6%。</w:t>
      </w:r>
    </w:p>
    <w:p w14:paraId="3ED6C930">
      <w:pPr>
        <w:pStyle w:val="3"/>
        <w:keepNext w:val="0"/>
        <w:keepLines w:val="0"/>
        <w:widowControl/>
        <w:numPr>
          <w:ilvl w:val="0"/>
          <w:numId w:val="1"/>
        </w:numPr>
        <w:suppressLineNumbers w:val="0"/>
        <w:pBdr>
          <w:left w:val="none" w:color="auto" w:sz="0" w:space="0"/>
        </w:pBdr>
        <w:ind w:left="0" w:leftChars="0" w:firstLine="0" w:firstLineChars="0"/>
        <w:jc w:val="left"/>
        <w:rPr>
          <w:rFonts w:hint="eastAsia" w:asciiTheme="minorEastAsia" w:hAnsiTheme="minorEastAsia" w:eastAsiaTheme="minorEastAsia" w:cstheme="minorEastAsia"/>
          <w:lang w:val="en-US" w:eastAsia="zh-CN"/>
        </w:rPr>
      </w:pPr>
      <w:bookmarkStart w:id="11" w:name="_Toc32741"/>
      <w:r>
        <w:rPr>
          <w:rFonts w:hint="eastAsia" w:asciiTheme="minorEastAsia" w:hAnsiTheme="minorEastAsia" w:eastAsiaTheme="minorEastAsia" w:cstheme="minorEastAsia"/>
        </w:rPr>
        <w:t>研究发现</w:t>
      </w:r>
      <w:r>
        <w:rPr>
          <w:rFonts w:hint="eastAsia" w:asciiTheme="minorEastAsia" w:hAnsiTheme="minorEastAsia" w:eastAsiaTheme="minorEastAsia" w:cstheme="minorEastAsia"/>
          <w:lang w:val="en-US" w:eastAsia="zh-CN"/>
        </w:rPr>
        <w:t>:基于数据的传播效果分析</w:t>
      </w:r>
      <w:bookmarkEnd w:id="11"/>
    </w:p>
    <w:p w14:paraId="43A17ABB">
      <w:pPr>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i w:val="0"/>
          <w:iCs w:val="0"/>
          <w:caps w:val="0"/>
          <w:spacing w:val="0"/>
          <w:sz w:val="24"/>
          <w:szCs w:val="24"/>
          <w:shd w:val="clear" w:fill="FFFFFF"/>
        </w:rPr>
        <w:t>本研究从“主题关注度分布”“情感效果差异”“行为转化潜力”“传播深度层次” 四个维度展开分析，结合表3、表4 及对应图表，呈现核心发现。</w:t>
      </w:r>
    </w:p>
    <w:p w14:paraId="4C2A82CE">
      <w:pPr>
        <w:pStyle w:val="4"/>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12" w:name="_Toc4618"/>
      <w:r>
        <w:rPr>
          <w:rFonts w:hint="eastAsia" w:asciiTheme="minorEastAsia" w:hAnsiTheme="minorEastAsia" w:eastAsiaTheme="minorEastAsia" w:cstheme="minorEastAsia"/>
        </w:rPr>
        <w:t>4.1 主题关注度分布：叙事类内容占绝对主导</w:t>
      </w:r>
      <w:bookmarkEnd w:id="12"/>
    </w:p>
    <w:p w14:paraId="14D2406B">
      <w:pPr>
        <w:pStyle w:val="11"/>
        <w:keepNext w:val="0"/>
        <w:keepLines w:val="0"/>
        <w:widowControl/>
        <w:suppressLineNumbers w:val="0"/>
        <w:spacing w:before="0" w:beforeAutospacing="1" w:after="0" w:afterAutospacing="1"/>
        <w:ind w:left="0" w:right="0"/>
        <w:jc w:val="left"/>
        <w:rPr>
          <w:rFonts w:hint="eastAsia"/>
        </w:rPr>
      </w:pPr>
      <w:r>
        <w:t>从评论数量分布（图1）可见，用户对不同主题的关注度呈现显著分化：</w:t>
      </w:r>
    </w:p>
    <w:p w14:paraId="44DB80F2">
      <w:pPr>
        <w:pStyle w:val="11"/>
        <w:keepNext w:val="0"/>
        <w:keepLines w:val="0"/>
        <w:widowControl/>
        <w:numPr>
          <w:ilvl w:val="0"/>
          <w:numId w:val="6"/>
        </w:numPr>
        <w:suppressLineNumbers w:val="0"/>
        <w:spacing w:before="0" w:beforeAutospacing="1" w:after="0" w:afterAutospacing="1"/>
        <w:ind w:left="420" w:leftChars="0" w:right="0" w:hanging="420" w:firstLineChars="0"/>
        <w:jc w:val="left"/>
        <w:rPr>
          <w:rFonts w:hint="eastAsia"/>
        </w:rPr>
      </w:pPr>
      <w:r>
        <w:rPr>
          <w:rFonts w:hint="eastAsia"/>
        </w:rPr>
        <w:t>高关注主题：“深度叙事解读”（2838条）与“核心文化传承”（2705条）的评论数合计占比62.3%，成为用户最关注的两类主题，反映出“文化叙事类”内容更易引发用户讨论；</w:t>
      </w:r>
    </w:p>
    <w:p w14:paraId="6EF058ED">
      <w:pPr>
        <w:pStyle w:val="11"/>
        <w:keepNext w:val="0"/>
        <w:keepLines w:val="0"/>
        <w:widowControl/>
        <w:numPr>
          <w:ilvl w:val="0"/>
          <w:numId w:val="6"/>
        </w:numPr>
        <w:suppressLineNumbers w:val="0"/>
        <w:spacing w:before="0" w:beforeAutospacing="1" w:after="0" w:afterAutospacing="1"/>
        <w:ind w:left="420" w:leftChars="0" w:right="0" w:hanging="420" w:firstLineChars="0"/>
        <w:jc w:val="left"/>
        <w:rPr>
          <w:rFonts w:hint="eastAsia"/>
        </w:rPr>
      </w:pPr>
      <w:r>
        <w:rPr>
          <w:rFonts w:hint="eastAsia"/>
        </w:rPr>
        <w:t>中关注主题：“社会责任实践”（1473条）与“社会议题探讨”（1077条）的评论数占比分别为16.5%、12.1%，用户关注度中等；</w:t>
      </w:r>
    </w:p>
    <w:p w14:paraId="4FD8C7E5">
      <w:pPr>
        <w:pStyle w:val="11"/>
        <w:keepNext w:val="0"/>
        <w:keepLines w:val="0"/>
        <w:widowControl/>
        <w:numPr>
          <w:ilvl w:val="0"/>
          <w:numId w:val="6"/>
        </w:numPr>
        <w:suppressLineNumbers w:val="0"/>
        <w:spacing w:before="0" w:beforeAutospacing="1" w:after="0" w:afterAutospacing="1"/>
        <w:ind w:left="420" w:leftChars="0" w:right="0" w:hanging="420" w:firstLineChars="0"/>
        <w:jc w:val="left"/>
      </w:pPr>
      <w:r>
        <w:rPr>
          <w:rFonts w:hint="eastAsia"/>
        </w:rPr>
        <w:t>低关注主题：“技术创新展示”（748条）与“文旅融合体验”（58条）的评论数占比仅8.4%、0.7%，其中“文旅融合体验”因样本量极小，尚未形成规模性讨论。</w:t>
      </w:r>
    </w:p>
    <w:p w14:paraId="1A42F459">
      <w:pPr>
        <w:pStyle w:val="11"/>
        <w:keepNext w:val="0"/>
        <w:keepLines w:val="0"/>
        <w:widowControl/>
        <w:suppressLineNumbers w:val="0"/>
        <w:spacing w:before="0" w:beforeAutospacing="1" w:after="0" w:afterAutospacing="1"/>
        <w:ind w:left="0" w:right="0"/>
        <w:jc w:val="left"/>
        <w:rPr>
          <w:rFonts w:hint="eastAsia"/>
        </w:rPr>
      </w:pPr>
      <w:r>
        <w:rPr>
          <w:rFonts w:hint="eastAsia"/>
        </w:rPr>
        <w:t>这一分布表明，《燕云十六声》的文化传播仍以“线上叙事”为核心，“线下联动”与“技术解读”类内容的用户关注度有待提升。</w:t>
      </w:r>
    </w:p>
    <w:p w14:paraId="21E180FE">
      <w:pPr>
        <w:pStyle w:val="11"/>
        <w:keepNext w:val="0"/>
        <w:keepLines w:val="0"/>
        <w:widowControl/>
        <w:suppressLineNumbers w:val="0"/>
        <w:spacing w:before="0" w:beforeAutospacing="1" w:after="0" w:afterAutospacing="1"/>
        <w:ind w:left="0" w:right="0"/>
        <w:jc w:val="left"/>
        <w:rPr>
          <w:rFonts w:hint="eastAsia" w:eastAsiaTheme="minorEastAsia"/>
          <w:lang w:eastAsia="zh-CN"/>
        </w:rPr>
      </w:pPr>
      <w:r>
        <w:rPr>
          <w:rFonts w:hint="eastAsia" w:eastAsiaTheme="minorEastAsia"/>
          <w:lang w:eastAsia="zh-CN"/>
        </w:rPr>
        <w:drawing>
          <wp:inline distT="0" distB="0" distL="114300" distR="114300">
            <wp:extent cx="5266690" cy="2889885"/>
            <wp:effectExtent l="0" t="0" r="10160" b="0"/>
            <wp:docPr id="25" name="图片 25" descr="图1_各主题评论数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1_各主题评论数量分布"/>
                    <pic:cNvPicPr>
                      <a:picLocks noChangeAspect="1"/>
                    </pic:cNvPicPr>
                  </pic:nvPicPr>
                  <pic:blipFill>
                    <a:blip r:embed="rId7"/>
                    <a:stretch>
                      <a:fillRect/>
                    </a:stretch>
                  </pic:blipFill>
                  <pic:spPr>
                    <a:xfrm>
                      <a:off x="0" y="0"/>
                      <a:ext cx="5266690" cy="2889885"/>
                    </a:xfrm>
                    <a:prstGeom prst="rect">
                      <a:avLst/>
                    </a:prstGeom>
                  </pic:spPr>
                </pic:pic>
              </a:graphicData>
            </a:graphic>
          </wp:inline>
        </w:drawing>
      </w:r>
    </w:p>
    <w:p w14:paraId="05B5DD00">
      <w:pPr>
        <w:pStyle w:val="6"/>
        <w:keepNext w:val="0"/>
        <w:keepLines w:val="0"/>
        <w:widowControl/>
        <w:suppressLineNumbers w:val="0"/>
        <w:spacing w:before="0" w:beforeAutospacing="1" w:after="0" w:afterAutospacing="1"/>
        <w:ind w:left="0" w:right="0"/>
        <w:jc w:val="center"/>
        <w:rPr>
          <w:rFonts w:hint="default" w:eastAsia="黑体"/>
          <w:lang w:val="en-US" w:eastAsia="zh-CN"/>
        </w:rPr>
      </w:pPr>
      <w:r>
        <w:t xml:space="preserve">图 </w:t>
      </w:r>
      <w:r>
        <w:fldChar w:fldCharType="begin"/>
      </w:r>
      <w:r>
        <w:instrText xml:space="preserve"> SEQ 图 \* ARABIC </w:instrText>
      </w:r>
      <w:r>
        <w:fldChar w:fldCharType="separate"/>
      </w:r>
      <w:r>
        <w:t>1</w:t>
      </w:r>
      <w:r>
        <w:fldChar w:fldCharType="end"/>
      </w:r>
      <w:r>
        <w:rPr>
          <w:rFonts w:hint="eastAsia"/>
          <w:lang w:val="en-US" w:eastAsia="zh-CN"/>
        </w:rPr>
        <w:t xml:space="preserve"> 各主题评论数量分布</w:t>
      </w:r>
    </w:p>
    <w:p w14:paraId="034A157B">
      <w:pPr>
        <w:pStyle w:val="11"/>
        <w:keepNext w:val="0"/>
        <w:keepLines w:val="0"/>
        <w:widowControl/>
        <w:suppressLineNumbers w:val="0"/>
        <w:spacing w:before="0" w:beforeAutospacing="1" w:after="0" w:afterAutospacing="1"/>
        <w:ind w:left="0" w:right="0"/>
        <w:jc w:val="left"/>
        <w:rPr>
          <w:rFonts w:hint="eastAsia"/>
        </w:rPr>
      </w:pPr>
      <w:r>
        <w:rPr>
          <w:rFonts w:hint="eastAsia"/>
        </w:rPr>
        <w:t>观察评论的时间分布走势（见图 2），《燕云十六声》的文化传播带有鲜明的 “热点驱动” 特点。数据显示，评论量会在特定节点形成明显高峰：2024 年 3 月出现首个评论热潮，正是游戏进行重大版本更新、集中推出相关文化内容的阶段；5 月到 6 月间，随着 “敦煌联动” 活动与暑期企划上线，传播热度也保持了持续走高的</w:t>
      </w:r>
      <w:r>
        <w:rPr>
          <w:rFonts w:hint="eastAsia"/>
          <w:lang w:val="en-US" w:eastAsia="zh-CN"/>
        </w:rPr>
        <w:t>态势</w:t>
      </w:r>
      <w:r>
        <w:rPr>
          <w:rFonts w:hint="eastAsia"/>
        </w:rPr>
        <w:t>。</w:t>
      </w:r>
    </w:p>
    <w:p w14:paraId="044737CE">
      <w:pPr>
        <w:pStyle w:val="11"/>
        <w:keepNext w:val="0"/>
        <w:keepLines w:val="0"/>
        <w:widowControl/>
        <w:suppressLineNumbers w:val="0"/>
        <w:spacing w:before="0" w:beforeAutospacing="1" w:after="0" w:afterAutospacing="1"/>
        <w:ind w:left="0" w:right="0"/>
        <w:jc w:val="left"/>
        <w:rPr>
          <w:rFonts w:hint="eastAsia"/>
        </w:rPr>
      </w:pPr>
      <w:r>
        <w:rPr>
          <w:rFonts w:hint="eastAsia"/>
        </w:rPr>
        <w:t>进一步的时间序列分析还发现：官方发布的内容往往在上线后 24 小时内就迎来评论峰值，呈现出 “爆发式” 扩散的特点；而个人创作者产出的深度解读内容，则会体现出 “长尾效应”，发布数周后依然能持续带动用户的讨论热度。</w:t>
      </w:r>
    </w:p>
    <w:p w14:paraId="373EF98F">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kern w:val="0"/>
          <w:sz w:val="20"/>
          <w:szCs w:val="20"/>
          <w:lang w:val="en-US" w:eastAsia="zh-CN" w:bidi="ar"/>
        </w:rPr>
      </w:pPr>
      <w:r>
        <w:rPr>
          <w:rFonts w:hint="eastAsia"/>
        </w:rPr>
        <w:t>从这样的时间分布规律能看出，游戏的文化传播需要精准抓住核心内容的发布节点，搭建 “热点引爆 + 长期运营” 的节奏来推进。</w:t>
      </w:r>
      <w:r>
        <w:rPr>
          <w:rFonts w:hint="eastAsia" w:asciiTheme="minorEastAsia" w:hAnsiTheme="minorEastAsia" w:eastAsiaTheme="minorEastAsia" w:cstheme="minorEastAsia"/>
          <w:kern w:val="0"/>
          <w:sz w:val="20"/>
          <w:szCs w:val="20"/>
          <w:lang w:val="en-US" w:eastAsia="zh-CN" w:bidi="ar"/>
        </w:rPr>
        <w:drawing>
          <wp:inline distT="0" distB="0" distL="114300" distR="114300">
            <wp:extent cx="5266690" cy="2430145"/>
            <wp:effectExtent l="0" t="0" r="10160" b="0"/>
            <wp:docPr id="26" name="图片 26" descr="图7_评论数量时间序列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7_评论数量时间序列分布"/>
                    <pic:cNvPicPr>
                      <a:picLocks noChangeAspect="1"/>
                    </pic:cNvPicPr>
                  </pic:nvPicPr>
                  <pic:blipFill>
                    <a:blip r:embed="rId8"/>
                    <a:stretch>
                      <a:fillRect/>
                    </a:stretch>
                  </pic:blipFill>
                  <pic:spPr>
                    <a:xfrm>
                      <a:off x="0" y="0"/>
                      <a:ext cx="5266690" cy="2430145"/>
                    </a:xfrm>
                    <a:prstGeom prst="rect">
                      <a:avLst/>
                    </a:prstGeom>
                  </pic:spPr>
                </pic:pic>
              </a:graphicData>
            </a:graphic>
          </wp:inline>
        </w:drawing>
      </w:r>
    </w:p>
    <w:p w14:paraId="47B10170">
      <w:pPr>
        <w:pStyle w:val="6"/>
        <w:keepNext w:val="0"/>
        <w:keepLines w:val="0"/>
        <w:widowControl/>
        <w:suppressLineNumbers w:val="0"/>
        <w:spacing w:before="0" w:beforeAutospacing="1" w:after="0" w:afterAutospacing="1"/>
        <w:ind w:left="0" w:right="0"/>
        <w:jc w:val="center"/>
        <w:rPr>
          <w:rFonts w:hint="default" w:eastAsia="黑体" w:asciiTheme="minorEastAsia" w:hAnsiTheme="minorEastAsia" w:cstheme="minorEastAsia"/>
          <w:kern w:val="0"/>
          <w:sz w:val="20"/>
          <w:szCs w:val="20"/>
          <w:lang w:val="en-US" w:eastAsia="zh-CN" w:bidi="ar"/>
        </w:rPr>
      </w:pPr>
      <w:r>
        <w:t xml:space="preserve">图 </w:t>
      </w:r>
      <w:r>
        <w:fldChar w:fldCharType="begin"/>
      </w:r>
      <w:r>
        <w:instrText xml:space="preserve"> SEQ 图 \* ARABIC </w:instrText>
      </w:r>
      <w:r>
        <w:fldChar w:fldCharType="separate"/>
      </w:r>
      <w:r>
        <w:t>2</w:t>
      </w:r>
      <w:r>
        <w:fldChar w:fldCharType="end"/>
      </w:r>
      <w:r>
        <w:rPr>
          <w:rFonts w:hint="eastAsia"/>
          <w:lang w:val="en-US" w:eastAsia="zh-CN"/>
        </w:rPr>
        <w:t xml:space="preserve"> 评论数量时间序列分布</w:t>
      </w:r>
    </w:p>
    <w:p w14:paraId="70889A59">
      <w:pPr>
        <w:pStyle w:val="4"/>
        <w:keepNext w:val="0"/>
        <w:keepLines w:val="0"/>
        <w:widowControl/>
        <w:numPr>
          <w:ilvl w:val="0"/>
          <w:numId w:val="0"/>
        </w:numPr>
        <w:suppressLineNumbers w:val="0"/>
        <w:pBdr>
          <w:left w:val="none" w:color="auto" w:sz="0" w:space="0"/>
        </w:pBdr>
        <w:ind w:leftChars="0"/>
        <w:jc w:val="left"/>
      </w:pPr>
      <w:bookmarkStart w:id="13" w:name="_Toc3661"/>
      <w:r>
        <w:t>4.2 情感效果差异：文旅融合体验主题正面率最高</w:t>
      </w:r>
      <w:bookmarkEnd w:id="13"/>
    </w:p>
    <w:p w14:paraId="4F1F3EAE">
      <w:pPr>
        <w:pStyle w:val="11"/>
        <w:keepNext w:val="0"/>
        <w:keepLines w:val="0"/>
        <w:widowControl/>
        <w:numPr>
          <w:ilvl w:val="0"/>
          <w:numId w:val="0"/>
        </w:numPr>
        <w:suppressLineNumbers w:val="0"/>
        <w:spacing w:before="0" w:beforeAutospacing="1" w:after="0" w:afterAutospacing="1"/>
        <w:ind w:leftChars="0" w:right="0" w:rightChars="0"/>
        <w:jc w:val="left"/>
        <w:rPr>
          <w:rFonts w:hint="eastAsia"/>
        </w:rPr>
      </w:pPr>
      <w:r>
        <w:rPr>
          <w:rFonts w:hint="eastAsia"/>
        </w:rPr>
        <w:t>通过“原始正面率”与“加权正面率”的对比（表3、图3），结合“各传播主题加权正面率排名”（图4），可发现情感效果的核心差异：</w:t>
      </w:r>
    </w:p>
    <w:p w14:paraId="53783145">
      <w:pPr>
        <w:pStyle w:val="11"/>
        <w:keepNext w:val="0"/>
        <w:keepLines w:val="0"/>
        <w:widowControl/>
        <w:numPr>
          <w:ilvl w:val="0"/>
          <w:numId w:val="0"/>
        </w:numPr>
        <w:suppressLineNumbers w:val="0"/>
        <w:spacing w:before="0" w:beforeAutospacing="1" w:after="0" w:afterAutospacing="1"/>
        <w:ind w:leftChars="0" w:right="0" w:rightChars="0"/>
        <w:jc w:val="left"/>
        <w:rPr>
          <w:rFonts w:hint="eastAsia"/>
        </w:rPr>
      </w:pPr>
      <w:r>
        <w:rPr>
          <w:rFonts w:hint="eastAsia"/>
        </w:rPr>
        <w:t>加权正面率排名：“文旅融合体验”以37.9%的加权正面率位居第一，且原始正面率与加权正面率完全一致（差异0%），说明该主题的正面反馈“集中且稳定”，未受评论权重（点赞数）影响；“核心文化传承”排名第二（29.8%），但原始正面率（31.8%）高于加权正面率，反映部分正面评论的用户认同度（点赞数）较低；“社会议题探讨”排名第六（22.8%），原始与加权正面率一致，整体情感反馈偏平淡。</w:t>
      </w:r>
    </w:p>
    <w:p w14:paraId="61BBDD0B">
      <w:pPr>
        <w:pStyle w:val="11"/>
        <w:keepNext w:val="0"/>
        <w:keepLines w:val="0"/>
        <w:widowControl/>
        <w:numPr>
          <w:ilvl w:val="0"/>
          <w:numId w:val="0"/>
        </w:numPr>
        <w:suppressLineNumbers w:val="0"/>
        <w:spacing w:before="0" w:beforeAutospacing="1" w:after="0" w:afterAutospacing="1"/>
        <w:ind w:leftChars="0" w:right="0" w:rightChars="0"/>
        <w:jc w:val="left"/>
      </w:pPr>
      <w:r>
        <w:rPr>
          <w:rFonts w:hint="eastAsia"/>
        </w:rPr>
        <w:t>情感得分差异：“文旅融合体验”的加权情感得分最高（0.43），“核心文化传承”次之（0.32），“社会议题探讨”最低（0.12），与加权正面率排名一致，进一步验证“文旅融合”主题的情感共鸣强度最优。</w:t>
      </w:r>
    </w:p>
    <w:tbl>
      <w:tblPr>
        <w:tblStyle w:val="12"/>
        <w:tblW w:w="9256" w:type="dxa"/>
        <w:jc w:val="center"/>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Layout w:type="autofit"/>
        <w:tblCellMar>
          <w:top w:w="15" w:type="dxa"/>
          <w:left w:w="15" w:type="dxa"/>
          <w:bottom w:w="15" w:type="dxa"/>
          <w:right w:w="15" w:type="dxa"/>
        </w:tblCellMar>
      </w:tblPr>
      <w:tblGrid>
        <w:gridCol w:w="1590"/>
        <w:gridCol w:w="544"/>
        <w:gridCol w:w="750"/>
        <w:gridCol w:w="1352"/>
        <w:gridCol w:w="831"/>
        <w:gridCol w:w="831"/>
        <w:gridCol w:w="876"/>
        <w:gridCol w:w="876"/>
        <w:gridCol w:w="803"/>
        <w:gridCol w:w="803"/>
      </w:tblGrid>
      <w:tr w14:paraId="07DCB8E2">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tblHeader/>
          <w:jc w:val="center"/>
        </w:trPr>
        <w:tc>
          <w:tcPr>
            <w:tcW w:w="1590" w:type="dxa"/>
            <w:tcBorders>
              <w:top w:val="single" w:color="auto" w:sz="12" w:space="0"/>
              <w:left w:val="nil"/>
              <w:bottom w:val="single" w:color="auto" w:sz="4" w:space="0"/>
              <w:right w:val="nil"/>
            </w:tcBorders>
            <w:shd w:val="clear" w:color="auto" w:fill="auto"/>
            <w:vAlign w:val="center"/>
          </w:tcPr>
          <w:p w14:paraId="64727FC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传播主题</w:t>
            </w:r>
          </w:p>
        </w:tc>
        <w:tc>
          <w:tcPr>
            <w:tcW w:w="544" w:type="dxa"/>
            <w:tcBorders>
              <w:top w:val="single" w:color="auto" w:sz="12" w:space="0"/>
              <w:left w:val="nil"/>
              <w:bottom w:val="single" w:color="auto" w:sz="4" w:space="0"/>
              <w:right w:val="nil"/>
            </w:tcBorders>
            <w:shd w:val="clear" w:color="auto" w:fill="auto"/>
            <w:vAlign w:val="center"/>
          </w:tcPr>
          <w:p w14:paraId="77BD32E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视频数量</w:t>
            </w:r>
          </w:p>
        </w:tc>
        <w:tc>
          <w:tcPr>
            <w:tcW w:w="750" w:type="dxa"/>
            <w:tcBorders>
              <w:top w:val="single" w:color="auto" w:sz="12" w:space="0"/>
              <w:left w:val="nil"/>
              <w:bottom w:val="single" w:color="auto" w:sz="4" w:space="0"/>
              <w:right w:val="nil"/>
            </w:tcBorders>
            <w:shd w:val="clear" w:color="auto" w:fill="auto"/>
            <w:vAlign w:val="center"/>
          </w:tcPr>
          <w:p w14:paraId="6B670313">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评论数量</w:t>
            </w:r>
          </w:p>
        </w:tc>
        <w:tc>
          <w:tcPr>
            <w:tcW w:w="1352" w:type="dxa"/>
            <w:tcBorders>
              <w:top w:val="single" w:color="auto" w:sz="12" w:space="0"/>
              <w:left w:val="nil"/>
              <w:bottom w:val="single" w:color="auto" w:sz="4" w:space="0"/>
              <w:right w:val="nil"/>
            </w:tcBorders>
            <w:shd w:val="clear" w:color="auto" w:fill="auto"/>
            <w:vAlign w:val="center"/>
          </w:tcPr>
          <w:p w14:paraId="48B83D20">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lang w:val="en-US" w:eastAsia="zh-CN"/>
              </w:rPr>
            </w:pPr>
            <w:r>
              <w:rPr>
                <w:rStyle w:val="15"/>
                <w:rFonts w:hint="eastAsia" w:asciiTheme="minorEastAsia" w:hAnsiTheme="minorEastAsia" w:eastAsiaTheme="minorEastAsia" w:cstheme="minorEastAsia"/>
                <w:b/>
                <w:bCs/>
              </w:rPr>
              <w:t>加权评论量</w:t>
            </w:r>
            <w:r>
              <w:rPr>
                <w:rFonts w:hint="eastAsia" w:asciiTheme="minorEastAsia" w:hAnsiTheme="minorEastAsia" w:cstheme="minorEastAsia"/>
                <w:b/>
                <w:lang w:val="en-US" w:eastAsia="zh-CN"/>
              </w:rPr>
              <w:t>%</w:t>
            </w:r>
          </w:p>
        </w:tc>
        <w:tc>
          <w:tcPr>
            <w:tcW w:w="831" w:type="dxa"/>
            <w:tcBorders>
              <w:top w:val="single" w:color="auto" w:sz="12" w:space="0"/>
              <w:left w:val="nil"/>
              <w:bottom w:val="single" w:color="auto" w:sz="4" w:space="0"/>
              <w:right w:val="nil"/>
            </w:tcBorders>
            <w:shd w:val="clear" w:color="auto" w:fill="auto"/>
            <w:vAlign w:val="center"/>
          </w:tcPr>
          <w:p w14:paraId="2197D74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lang w:val="en-US" w:eastAsia="zh-CN"/>
              </w:rPr>
            </w:pPr>
            <w:r>
              <w:rPr>
                <w:rStyle w:val="15"/>
                <w:rFonts w:hint="eastAsia" w:asciiTheme="minorEastAsia" w:hAnsiTheme="minorEastAsia" w:eastAsiaTheme="minorEastAsia" w:cstheme="minorEastAsia"/>
                <w:b/>
                <w:bCs/>
              </w:rPr>
              <w:t>原始正面率</w:t>
            </w:r>
            <w:r>
              <w:rPr>
                <w:rFonts w:hint="eastAsia" w:asciiTheme="minorEastAsia" w:hAnsiTheme="minorEastAsia" w:cstheme="minorEastAsia"/>
                <w:b/>
                <w:lang w:val="en-US" w:eastAsia="zh-CN"/>
              </w:rPr>
              <w:t>%</w:t>
            </w:r>
          </w:p>
        </w:tc>
        <w:tc>
          <w:tcPr>
            <w:tcW w:w="831" w:type="dxa"/>
            <w:tcBorders>
              <w:top w:val="single" w:color="auto" w:sz="12" w:space="0"/>
              <w:left w:val="nil"/>
              <w:bottom w:val="single" w:color="auto" w:sz="4" w:space="0"/>
              <w:right w:val="nil"/>
            </w:tcBorders>
            <w:shd w:val="clear" w:color="auto" w:fill="auto"/>
            <w:vAlign w:val="center"/>
          </w:tcPr>
          <w:p w14:paraId="6369586E">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lang w:val="en-US" w:eastAsia="zh-CN"/>
              </w:rPr>
            </w:pPr>
            <w:r>
              <w:rPr>
                <w:rStyle w:val="15"/>
                <w:rFonts w:hint="eastAsia" w:asciiTheme="minorEastAsia" w:hAnsiTheme="minorEastAsia" w:eastAsiaTheme="minorEastAsia" w:cstheme="minorEastAsia"/>
                <w:b/>
                <w:bCs/>
              </w:rPr>
              <w:t>加权正面率</w:t>
            </w:r>
            <w:r>
              <w:rPr>
                <w:rFonts w:hint="eastAsia" w:asciiTheme="minorEastAsia" w:hAnsiTheme="minorEastAsia" w:cstheme="minorEastAsia"/>
                <w:b/>
                <w:lang w:val="en-US" w:eastAsia="zh-CN"/>
              </w:rPr>
              <w:t>%</w:t>
            </w:r>
          </w:p>
        </w:tc>
        <w:tc>
          <w:tcPr>
            <w:tcW w:w="876" w:type="dxa"/>
            <w:tcBorders>
              <w:top w:val="single" w:color="auto" w:sz="12" w:space="0"/>
              <w:left w:val="nil"/>
              <w:bottom w:val="single" w:color="auto" w:sz="4" w:space="0"/>
              <w:right w:val="nil"/>
            </w:tcBorders>
            <w:shd w:val="clear" w:color="auto" w:fill="auto"/>
            <w:vAlign w:val="center"/>
          </w:tcPr>
          <w:p w14:paraId="7A14256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lang w:eastAsia="zh-CN"/>
              </w:rPr>
            </w:pPr>
            <w:r>
              <w:rPr>
                <w:rStyle w:val="15"/>
                <w:rFonts w:hint="eastAsia" w:asciiTheme="minorEastAsia" w:hAnsiTheme="minorEastAsia" w:eastAsiaTheme="minorEastAsia" w:cstheme="minorEastAsia"/>
                <w:b/>
                <w:bCs/>
              </w:rPr>
              <w:t>原始情感得分</w:t>
            </w:r>
          </w:p>
        </w:tc>
        <w:tc>
          <w:tcPr>
            <w:tcW w:w="876" w:type="dxa"/>
            <w:tcBorders>
              <w:top w:val="single" w:color="auto" w:sz="12" w:space="0"/>
              <w:left w:val="nil"/>
              <w:bottom w:val="single" w:color="auto" w:sz="4" w:space="0"/>
              <w:right w:val="nil"/>
            </w:tcBorders>
            <w:shd w:val="clear" w:color="auto" w:fill="auto"/>
            <w:vAlign w:val="center"/>
          </w:tcPr>
          <w:p w14:paraId="19D1F52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加权情感得分</w:t>
            </w:r>
          </w:p>
        </w:tc>
        <w:tc>
          <w:tcPr>
            <w:tcW w:w="803" w:type="dxa"/>
            <w:tcBorders>
              <w:top w:val="single" w:color="auto" w:sz="12" w:space="0"/>
              <w:left w:val="nil"/>
              <w:bottom w:val="single" w:color="auto" w:sz="4" w:space="0"/>
              <w:right w:val="nil"/>
            </w:tcBorders>
            <w:shd w:val="clear" w:color="auto" w:fill="auto"/>
            <w:vAlign w:val="center"/>
          </w:tcPr>
          <w:p w14:paraId="70CA4216">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深度情感比例</w:t>
            </w:r>
          </w:p>
        </w:tc>
        <w:tc>
          <w:tcPr>
            <w:tcW w:w="803" w:type="dxa"/>
            <w:tcBorders>
              <w:top w:val="single" w:color="auto" w:sz="12" w:space="0"/>
              <w:left w:val="nil"/>
              <w:bottom w:val="single" w:color="auto" w:sz="4" w:space="0"/>
              <w:right w:val="nil"/>
            </w:tcBorders>
            <w:shd w:val="clear" w:color="auto" w:fill="auto"/>
            <w:vAlign w:val="center"/>
          </w:tcPr>
          <w:p w14:paraId="74AE92B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行为意向比例</w:t>
            </w:r>
          </w:p>
        </w:tc>
      </w:tr>
      <w:tr w14:paraId="682D278E">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590" w:type="dxa"/>
            <w:tcBorders>
              <w:top w:val="single" w:color="auto" w:sz="4" w:space="0"/>
              <w:left w:val="nil"/>
              <w:bottom w:val="nil"/>
              <w:right w:val="nil"/>
            </w:tcBorders>
            <w:shd w:val="clear" w:color="auto" w:fill="auto"/>
            <w:vAlign w:val="center"/>
          </w:tcPr>
          <w:p w14:paraId="6A014AC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文旅融合体验</w:t>
            </w:r>
          </w:p>
        </w:tc>
        <w:tc>
          <w:tcPr>
            <w:tcW w:w="544" w:type="dxa"/>
            <w:tcBorders>
              <w:top w:val="single" w:color="auto" w:sz="4" w:space="0"/>
              <w:left w:val="nil"/>
              <w:bottom w:val="nil"/>
              <w:right w:val="nil"/>
            </w:tcBorders>
            <w:shd w:val="clear" w:color="auto" w:fill="auto"/>
            <w:vAlign w:val="center"/>
          </w:tcPr>
          <w:p w14:paraId="6A41E163">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w:t>
            </w:r>
          </w:p>
        </w:tc>
        <w:tc>
          <w:tcPr>
            <w:tcW w:w="750" w:type="dxa"/>
            <w:tcBorders>
              <w:top w:val="single" w:color="auto" w:sz="4" w:space="0"/>
              <w:left w:val="nil"/>
              <w:bottom w:val="nil"/>
              <w:right w:val="nil"/>
            </w:tcBorders>
            <w:shd w:val="clear" w:color="auto" w:fill="auto"/>
            <w:vAlign w:val="center"/>
          </w:tcPr>
          <w:p w14:paraId="109B995C">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58</w:t>
            </w:r>
          </w:p>
        </w:tc>
        <w:tc>
          <w:tcPr>
            <w:tcW w:w="1352" w:type="dxa"/>
            <w:tcBorders>
              <w:top w:val="single" w:color="auto" w:sz="4" w:space="0"/>
              <w:left w:val="nil"/>
              <w:bottom w:val="nil"/>
              <w:right w:val="nil"/>
            </w:tcBorders>
            <w:shd w:val="clear" w:color="auto" w:fill="auto"/>
            <w:vAlign w:val="center"/>
          </w:tcPr>
          <w:p w14:paraId="3F8ECFB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5.301812</w:t>
            </w:r>
          </w:p>
        </w:tc>
        <w:tc>
          <w:tcPr>
            <w:tcW w:w="831" w:type="dxa"/>
            <w:tcBorders>
              <w:top w:val="single" w:color="auto" w:sz="4" w:space="0"/>
              <w:left w:val="nil"/>
              <w:bottom w:val="nil"/>
              <w:right w:val="nil"/>
            </w:tcBorders>
            <w:shd w:val="clear" w:color="auto" w:fill="auto"/>
            <w:vAlign w:val="center"/>
          </w:tcPr>
          <w:p w14:paraId="122CF09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37.9</w:t>
            </w:r>
          </w:p>
        </w:tc>
        <w:tc>
          <w:tcPr>
            <w:tcW w:w="831" w:type="dxa"/>
            <w:tcBorders>
              <w:top w:val="single" w:color="auto" w:sz="4" w:space="0"/>
              <w:left w:val="nil"/>
              <w:bottom w:val="nil"/>
              <w:right w:val="nil"/>
            </w:tcBorders>
            <w:shd w:val="clear" w:color="auto" w:fill="auto"/>
            <w:vAlign w:val="center"/>
          </w:tcPr>
          <w:p w14:paraId="29820D9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37.9</w:t>
            </w:r>
          </w:p>
        </w:tc>
        <w:tc>
          <w:tcPr>
            <w:tcW w:w="876" w:type="dxa"/>
            <w:tcBorders>
              <w:top w:val="single" w:color="auto" w:sz="4" w:space="0"/>
              <w:left w:val="nil"/>
              <w:bottom w:val="nil"/>
              <w:right w:val="nil"/>
            </w:tcBorders>
            <w:shd w:val="clear" w:color="auto" w:fill="auto"/>
            <w:vAlign w:val="center"/>
          </w:tcPr>
          <w:p w14:paraId="648C7EC0">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0.43</w:t>
            </w:r>
          </w:p>
        </w:tc>
        <w:tc>
          <w:tcPr>
            <w:tcW w:w="876" w:type="dxa"/>
            <w:tcBorders>
              <w:top w:val="single" w:color="auto" w:sz="4" w:space="0"/>
              <w:left w:val="nil"/>
              <w:bottom w:val="nil"/>
              <w:right w:val="nil"/>
            </w:tcBorders>
            <w:shd w:val="clear" w:color="auto" w:fill="auto"/>
            <w:vAlign w:val="center"/>
          </w:tcPr>
          <w:p w14:paraId="6D99A2EF">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0.43</w:t>
            </w:r>
          </w:p>
        </w:tc>
        <w:tc>
          <w:tcPr>
            <w:tcW w:w="803" w:type="dxa"/>
            <w:tcBorders>
              <w:top w:val="single" w:color="auto" w:sz="4" w:space="0"/>
              <w:left w:val="nil"/>
              <w:bottom w:val="nil"/>
              <w:right w:val="nil"/>
            </w:tcBorders>
            <w:shd w:val="clear" w:color="auto" w:fill="auto"/>
            <w:vAlign w:val="center"/>
          </w:tcPr>
          <w:p w14:paraId="70C6D440">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0.0</w:t>
            </w:r>
          </w:p>
        </w:tc>
        <w:tc>
          <w:tcPr>
            <w:tcW w:w="803" w:type="dxa"/>
            <w:tcBorders>
              <w:top w:val="single" w:color="auto" w:sz="4" w:space="0"/>
              <w:left w:val="nil"/>
              <w:bottom w:val="nil"/>
              <w:right w:val="nil"/>
            </w:tcBorders>
            <w:shd w:val="clear" w:color="auto" w:fill="auto"/>
            <w:vAlign w:val="center"/>
          </w:tcPr>
          <w:p w14:paraId="52E46FAF">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6.9</w:t>
            </w:r>
          </w:p>
        </w:tc>
      </w:tr>
      <w:tr w14:paraId="6D1FDBF8">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590" w:type="dxa"/>
            <w:tcBorders>
              <w:top w:val="nil"/>
              <w:left w:val="nil"/>
              <w:bottom w:val="nil"/>
              <w:right w:val="nil"/>
            </w:tcBorders>
            <w:shd w:val="clear" w:color="auto" w:fill="auto"/>
            <w:vAlign w:val="center"/>
          </w:tcPr>
          <w:p w14:paraId="365524E6">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核心文化传承</w:t>
            </w:r>
          </w:p>
        </w:tc>
        <w:tc>
          <w:tcPr>
            <w:tcW w:w="544" w:type="dxa"/>
            <w:tcBorders>
              <w:top w:val="nil"/>
              <w:left w:val="nil"/>
              <w:bottom w:val="nil"/>
              <w:right w:val="nil"/>
            </w:tcBorders>
            <w:shd w:val="clear" w:color="auto" w:fill="auto"/>
            <w:vAlign w:val="center"/>
          </w:tcPr>
          <w:p w14:paraId="4CC61F0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w:t>
            </w:r>
          </w:p>
        </w:tc>
        <w:tc>
          <w:tcPr>
            <w:tcW w:w="750" w:type="dxa"/>
            <w:tcBorders>
              <w:top w:val="nil"/>
              <w:left w:val="nil"/>
              <w:bottom w:val="nil"/>
              <w:right w:val="nil"/>
            </w:tcBorders>
            <w:shd w:val="clear" w:color="auto" w:fill="auto"/>
            <w:vAlign w:val="center"/>
          </w:tcPr>
          <w:p w14:paraId="234C59C1">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2705</w:t>
            </w:r>
          </w:p>
        </w:tc>
        <w:tc>
          <w:tcPr>
            <w:tcW w:w="1352" w:type="dxa"/>
            <w:tcBorders>
              <w:top w:val="nil"/>
              <w:left w:val="nil"/>
              <w:bottom w:val="nil"/>
              <w:right w:val="nil"/>
            </w:tcBorders>
            <w:shd w:val="clear" w:color="auto" w:fill="auto"/>
            <w:vAlign w:val="center"/>
          </w:tcPr>
          <w:p w14:paraId="31ECFC5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4321.908589</w:t>
            </w:r>
          </w:p>
        </w:tc>
        <w:tc>
          <w:tcPr>
            <w:tcW w:w="831" w:type="dxa"/>
            <w:tcBorders>
              <w:top w:val="nil"/>
              <w:left w:val="nil"/>
              <w:bottom w:val="nil"/>
              <w:right w:val="nil"/>
            </w:tcBorders>
            <w:shd w:val="clear" w:color="auto" w:fill="auto"/>
            <w:vAlign w:val="center"/>
          </w:tcPr>
          <w:p w14:paraId="3758E48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31.8</w:t>
            </w:r>
          </w:p>
        </w:tc>
        <w:tc>
          <w:tcPr>
            <w:tcW w:w="831" w:type="dxa"/>
            <w:tcBorders>
              <w:top w:val="nil"/>
              <w:left w:val="nil"/>
              <w:bottom w:val="nil"/>
              <w:right w:val="nil"/>
            </w:tcBorders>
            <w:shd w:val="clear" w:color="auto" w:fill="auto"/>
            <w:vAlign w:val="center"/>
          </w:tcPr>
          <w:p w14:paraId="12FE0D1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29.8</w:t>
            </w:r>
          </w:p>
        </w:tc>
        <w:tc>
          <w:tcPr>
            <w:tcW w:w="876" w:type="dxa"/>
            <w:tcBorders>
              <w:top w:val="nil"/>
              <w:left w:val="nil"/>
              <w:bottom w:val="nil"/>
              <w:right w:val="nil"/>
            </w:tcBorders>
            <w:shd w:val="clear" w:color="auto" w:fill="auto"/>
            <w:vAlign w:val="center"/>
          </w:tcPr>
          <w:p w14:paraId="2C5BFF5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0.36</w:t>
            </w:r>
          </w:p>
        </w:tc>
        <w:tc>
          <w:tcPr>
            <w:tcW w:w="876" w:type="dxa"/>
            <w:tcBorders>
              <w:top w:val="nil"/>
              <w:left w:val="nil"/>
              <w:bottom w:val="nil"/>
              <w:right w:val="nil"/>
            </w:tcBorders>
            <w:shd w:val="clear" w:color="auto" w:fill="auto"/>
            <w:vAlign w:val="center"/>
          </w:tcPr>
          <w:p w14:paraId="0D1113F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0.32</w:t>
            </w:r>
          </w:p>
        </w:tc>
        <w:tc>
          <w:tcPr>
            <w:tcW w:w="803" w:type="dxa"/>
            <w:tcBorders>
              <w:top w:val="nil"/>
              <w:left w:val="nil"/>
              <w:bottom w:val="nil"/>
              <w:right w:val="nil"/>
            </w:tcBorders>
            <w:shd w:val="clear" w:color="auto" w:fill="auto"/>
            <w:vAlign w:val="center"/>
          </w:tcPr>
          <w:p w14:paraId="2A4C09E1">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1.2</w:t>
            </w:r>
          </w:p>
        </w:tc>
        <w:tc>
          <w:tcPr>
            <w:tcW w:w="803" w:type="dxa"/>
            <w:tcBorders>
              <w:top w:val="nil"/>
              <w:left w:val="nil"/>
              <w:bottom w:val="nil"/>
              <w:right w:val="nil"/>
            </w:tcBorders>
            <w:shd w:val="clear" w:color="auto" w:fill="auto"/>
            <w:vAlign w:val="center"/>
          </w:tcPr>
          <w:p w14:paraId="1A671553">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9.8</w:t>
            </w:r>
          </w:p>
        </w:tc>
      </w:tr>
      <w:tr w14:paraId="16F18B7A">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590" w:type="dxa"/>
            <w:tcBorders>
              <w:top w:val="nil"/>
              <w:left w:val="nil"/>
              <w:bottom w:val="nil"/>
              <w:right w:val="nil"/>
            </w:tcBorders>
            <w:shd w:val="clear" w:color="auto" w:fill="auto"/>
            <w:vAlign w:val="center"/>
          </w:tcPr>
          <w:p w14:paraId="4CD3B71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社会责任实践</w:t>
            </w:r>
          </w:p>
        </w:tc>
        <w:tc>
          <w:tcPr>
            <w:tcW w:w="544" w:type="dxa"/>
            <w:tcBorders>
              <w:top w:val="nil"/>
              <w:left w:val="nil"/>
              <w:bottom w:val="nil"/>
              <w:right w:val="nil"/>
            </w:tcBorders>
            <w:shd w:val="clear" w:color="auto" w:fill="auto"/>
            <w:vAlign w:val="center"/>
          </w:tcPr>
          <w:p w14:paraId="0059C48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w:t>
            </w:r>
          </w:p>
        </w:tc>
        <w:tc>
          <w:tcPr>
            <w:tcW w:w="750" w:type="dxa"/>
            <w:tcBorders>
              <w:top w:val="nil"/>
              <w:left w:val="nil"/>
              <w:bottom w:val="nil"/>
              <w:right w:val="nil"/>
            </w:tcBorders>
            <w:shd w:val="clear" w:color="auto" w:fill="auto"/>
            <w:vAlign w:val="center"/>
          </w:tcPr>
          <w:p w14:paraId="5894AB1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1473</w:t>
            </w:r>
          </w:p>
        </w:tc>
        <w:tc>
          <w:tcPr>
            <w:tcW w:w="1352" w:type="dxa"/>
            <w:tcBorders>
              <w:top w:val="nil"/>
              <w:left w:val="nil"/>
              <w:bottom w:val="nil"/>
              <w:right w:val="nil"/>
            </w:tcBorders>
            <w:shd w:val="clear" w:color="auto" w:fill="auto"/>
            <w:vAlign w:val="center"/>
          </w:tcPr>
          <w:p w14:paraId="12076AB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1195.553980</w:t>
            </w:r>
          </w:p>
        </w:tc>
        <w:tc>
          <w:tcPr>
            <w:tcW w:w="831" w:type="dxa"/>
            <w:tcBorders>
              <w:top w:val="nil"/>
              <w:left w:val="nil"/>
              <w:bottom w:val="nil"/>
              <w:right w:val="nil"/>
            </w:tcBorders>
            <w:shd w:val="clear" w:color="auto" w:fill="auto"/>
            <w:vAlign w:val="center"/>
          </w:tcPr>
          <w:p w14:paraId="43338FA0">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27.0</w:t>
            </w:r>
          </w:p>
        </w:tc>
        <w:tc>
          <w:tcPr>
            <w:tcW w:w="831" w:type="dxa"/>
            <w:tcBorders>
              <w:top w:val="nil"/>
              <w:left w:val="nil"/>
              <w:bottom w:val="nil"/>
              <w:right w:val="nil"/>
            </w:tcBorders>
            <w:shd w:val="clear" w:color="auto" w:fill="auto"/>
            <w:vAlign w:val="center"/>
          </w:tcPr>
          <w:p w14:paraId="4D07F81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27.3</w:t>
            </w:r>
          </w:p>
        </w:tc>
        <w:tc>
          <w:tcPr>
            <w:tcW w:w="876" w:type="dxa"/>
            <w:tcBorders>
              <w:top w:val="nil"/>
              <w:left w:val="nil"/>
              <w:bottom w:val="nil"/>
              <w:right w:val="nil"/>
            </w:tcBorders>
            <w:shd w:val="clear" w:color="auto" w:fill="auto"/>
            <w:vAlign w:val="center"/>
          </w:tcPr>
          <w:p w14:paraId="3A9DA275">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0.29</w:t>
            </w:r>
          </w:p>
        </w:tc>
        <w:tc>
          <w:tcPr>
            <w:tcW w:w="876" w:type="dxa"/>
            <w:tcBorders>
              <w:top w:val="nil"/>
              <w:left w:val="nil"/>
              <w:bottom w:val="nil"/>
              <w:right w:val="nil"/>
            </w:tcBorders>
            <w:shd w:val="clear" w:color="auto" w:fill="auto"/>
            <w:vAlign w:val="center"/>
          </w:tcPr>
          <w:p w14:paraId="21528CC6">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0.29</w:t>
            </w:r>
          </w:p>
        </w:tc>
        <w:tc>
          <w:tcPr>
            <w:tcW w:w="803" w:type="dxa"/>
            <w:tcBorders>
              <w:top w:val="nil"/>
              <w:left w:val="nil"/>
              <w:bottom w:val="nil"/>
              <w:right w:val="nil"/>
            </w:tcBorders>
            <w:shd w:val="clear" w:color="auto" w:fill="auto"/>
            <w:vAlign w:val="center"/>
          </w:tcPr>
          <w:p w14:paraId="3955CBD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1.2</w:t>
            </w:r>
          </w:p>
        </w:tc>
        <w:tc>
          <w:tcPr>
            <w:tcW w:w="803" w:type="dxa"/>
            <w:tcBorders>
              <w:top w:val="nil"/>
              <w:left w:val="nil"/>
              <w:bottom w:val="nil"/>
              <w:right w:val="nil"/>
            </w:tcBorders>
            <w:shd w:val="clear" w:color="auto" w:fill="auto"/>
            <w:vAlign w:val="center"/>
          </w:tcPr>
          <w:p w14:paraId="784F730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2.0</w:t>
            </w:r>
          </w:p>
        </w:tc>
      </w:tr>
      <w:tr w14:paraId="2A6CD57B">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590" w:type="dxa"/>
            <w:tcBorders>
              <w:top w:val="nil"/>
              <w:left w:val="nil"/>
              <w:bottom w:val="nil"/>
              <w:right w:val="nil"/>
            </w:tcBorders>
            <w:shd w:val="clear" w:color="auto" w:fill="auto"/>
            <w:vAlign w:val="center"/>
          </w:tcPr>
          <w:p w14:paraId="46A74E4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深度叙事解读</w:t>
            </w:r>
          </w:p>
        </w:tc>
        <w:tc>
          <w:tcPr>
            <w:tcW w:w="544" w:type="dxa"/>
            <w:tcBorders>
              <w:top w:val="nil"/>
              <w:left w:val="nil"/>
              <w:bottom w:val="nil"/>
              <w:right w:val="nil"/>
            </w:tcBorders>
            <w:shd w:val="clear" w:color="auto" w:fill="auto"/>
            <w:vAlign w:val="center"/>
          </w:tcPr>
          <w:p w14:paraId="61C66A6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4</w:t>
            </w:r>
          </w:p>
        </w:tc>
        <w:tc>
          <w:tcPr>
            <w:tcW w:w="750" w:type="dxa"/>
            <w:tcBorders>
              <w:top w:val="nil"/>
              <w:left w:val="nil"/>
              <w:bottom w:val="nil"/>
              <w:right w:val="nil"/>
            </w:tcBorders>
            <w:shd w:val="clear" w:color="auto" w:fill="auto"/>
            <w:vAlign w:val="center"/>
          </w:tcPr>
          <w:p w14:paraId="4432518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2838</w:t>
            </w:r>
          </w:p>
        </w:tc>
        <w:tc>
          <w:tcPr>
            <w:tcW w:w="1352" w:type="dxa"/>
            <w:tcBorders>
              <w:top w:val="nil"/>
              <w:left w:val="nil"/>
              <w:bottom w:val="nil"/>
              <w:right w:val="nil"/>
            </w:tcBorders>
            <w:shd w:val="clear" w:color="auto" w:fill="auto"/>
            <w:vAlign w:val="center"/>
          </w:tcPr>
          <w:p w14:paraId="2636C34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3946.546887</w:t>
            </w:r>
          </w:p>
        </w:tc>
        <w:tc>
          <w:tcPr>
            <w:tcW w:w="831" w:type="dxa"/>
            <w:tcBorders>
              <w:top w:val="nil"/>
              <w:left w:val="nil"/>
              <w:bottom w:val="nil"/>
              <w:right w:val="nil"/>
            </w:tcBorders>
            <w:shd w:val="clear" w:color="auto" w:fill="auto"/>
            <w:vAlign w:val="center"/>
          </w:tcPr>
          <w:p w14:paraId="5F61605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25.1</w:t>
            </w:r>
          </w:p>
        </w:tc>
        <w:tc>
          <w:tcPr>
            <w:tcW w:w="831" w:type="dxa"/>
            <w:tcBorders>
              <w:top w:val="nil"/>
              <w:left w:val="nil"/>
              <w:bottom w:val="nil"/>
              <w:right w:val="nil"/>
            </w:tcBorders>
            <w:shd w:val="clear" w:color="auto" w:fill="auto"/>
            <w:vAlign w:val="center"/>
          </w:tcPr>
          <w:p w14:paraId="7C33B5D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26.2</w:t>
            </w:r>
          </w:p>
        </w:tc>
        <w:tc>
          <w:tcPr>
            <w:tcW w:w="876" w:type="dxa"/>
            <w:tcBorders>
              <w:top w:val="nil"/>
              <w:left w:val="nil"/>
              <w:bottom w:val="nil"/>
              <w:right w:val="nil"/>
            </w:tcBorders>
            <w:shd w:val="clear" w:color="auto" w:fill="auto"/>
            <w:vAlign w:val="center"/>
          </w:tcPr>
          <w:p w14:paraId="087A4BA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0.23</w:t>
            </w:r>
          </w:p>
        </w:tc>
        <w:tc>
          <w:tcPr>
            <w:tcW w:w="876" w:type="dxa"/>
            <w:tcBorders>
              <w:top w:val="nil"/>
              <w:left w:val="nil"/>
              <w:bottom w:val="nil"/>
              <w:right w:val="nil"/>
            </w:tcBorders>
            <w:shd w:val="clear" w:color="auto" w:fill="auto"/>
            <w:vAlign w:val="center"/>
          </w:tcPr>
          <w:p w14:paraId="37C04E5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0.25</w:t>
            </w:r>
          </w:p>
        </w:tc>
        <w:tc>
          <w:tcPr>
            <w:tcW w:w="803" w:type="dxa"/>
            <w:tcBorders>
              <w:top w:val="nil"/>
              <w:left w:val="nil"/>
              <w:bottom w:val="nil"/>
              <w:right w:val="nil"/>
            </w:tcBorders>
            <w:shd w:val="clear" w:color="auto" w:fill="auto"/>
            <w:vAlign w:val="center"/>
          </w:tcPr>
          <w:p w14:paraId="7FC09AC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1.8</w:t>
            </w:r>
          </w:p>
        </w:tc>
        <w:tc>
          <w:tcPr>
            <w:tcW w:w="803" w:type="dxa"/>
            <w:tcBorders>
              <w:top w:val="nil"/>
              <w:left w:val="nil"/>
              <w:bottom w:val="nil"/>
              <w:right w:val="nil"/>
            </w:tcBorders>
            <w:shd w:val="clear" w:color="auto" w:fill="auto"/>
            <w:vAlign w:val="center"/>
          </w:tcPr>
          <w:p w14:paraId="3DDD8C8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6.9</w:t>
            </w:r>
          </w:p>
        </w:tc>
      </w:tr>
      <w:tr w14:paraId="258B2CA8">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590" w:type="dxa"/>
            <w:tcBorders>
              <w:top w:val="nil"/>
              <w:left w:val="nil"/>
              <w:bottom w:val="nil"/>
              <w:right w:val="nil"/>
            </w:tcBorders>
            <w:shd w:val="clear" w:color="auto" w:fill="auto"/>
            <w:vAlign w:val="center"/>
          </w:tcPr>
          <w:p w14:paraId="1C75F636">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技术创新展示</w:t>
            </w:r>
          </w:p>
        </w:tc>
        <w:tc>
          <w:tcPr>
            <w:tcW w:w="544" w:type="dxa"/>
            <w:tcBorders>
              <w:top w:val="nil"/>
              <w:left w:val="nil"/>
              <w:bottom w:val="nil"/>
              <w:right w:val="nil"/>
            </w:tcBorders>
            <w:shd w:val="clear" w:color="auto" w:fill="auto"/>
            <w:vAlign w:val="center"/>
          </w:tcPr>
          <w:p w14:paraId="24A08D4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w:t>
            </w:r>
          </w:p>
        </w:tc>
        <w:tc>
          <w:tcPr>
            <w:tcW w:w="750" w:type="dxa"/>
            <w:tcBorders>
              <w:top w:val="nil"/>
              <w:left w:val="nil"/>
              <w:bottom w:val="nil"/>
              <w:right w:val="nil"/>
            </w:tcBorders>
            <w:shd w:val="clear" w:color="auto" w:fill="auto"/>
            <w:vAlign w:val="center"/>
          </w:tcPr>
          <w:p w14:paraId="709F5871">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748</w:t>
            </w:r>
          </w:p>
        </w:tc>
        <w:tc>
          <w:tcPr>
            <w:tcW w:w="1352" w:type="dxa"/>
            <w:tcBorders>
              <w:top w:val="nil"/>
              <w:left w:val="nil"/>
              <w:bottom w:val="nil"/>
              <w:right w:val="nil"/>
            </w:tcBorders>
            <w:shd w:val="clear" w:color="auto" w:fill="auto"/>
            <w:vAlign w:val="center"/>
          </w:tcPr>
          <w:p w14:paraId="4816706E">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809.582348</w:t>
            </w:r>
          </w:p>
        </w:tc>
        <w:tc>
          <w:tcPr>
            <w:tcW w:w="831" w:type="dxa"/>
            <w:tcBorders>
              <w:top w:val="nil"/>
              <w:left w:val="nil"/>
              <w:bottom w:val="nil"/>
              <w:right w:val="nil"/>
            </w:tcBorders>
            <w:shd w:val="clear" w:color="auto" w:fill="auto"/>
            <w:vAlign w:val="center"/>
          </w:tcPr>
          <w:p w14:paraId="62A23F1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24.3</w:t>
            </w:r>
          </w:p>
        </w:tc>
        <w:tc>
          <w:tcPr>
            <w:tcW w:w="831" w:type="dxa"/>
            <w:tcBorders>
              <w:top w:val="nil"/>
              <w:left w:val="nil"/>
              <w:bottom w:val="nil"/>
              <w:right w:val="nil"/>
            </w:tcBorders>
            <w:shd w:val="clear" w:color="auto" w:fill="auto"/>
            <w:vAlign w:val="center"/>
          </w:tcPr>
          <w:p w14:paraId="037D8FE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23.9</w:t>
            </w:r>
          </w:p>
        </w:tc>
        <w:tc>
          <w:tcPr>
            <w:tcW w:w="876" w:type="dxa"/>
            <w:tcBorders>
              <w:top w:val="nil"/>
              <w:left w:val="nil"/>
              <w:bottom w:val="nil"/>
              <w:right w:val="nil"/>
            </w:tcBorders>
            <w:shd w:val="clear" w:color="auto" w:fill="auto"/>
            <w:vAlign w:val="center"/>
          </w:tcPr>
          <w:p w14:paraId="20C15F8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0.28</w:t>
            </w:r>
          </w:p>
        </w:tc>
        <w:tc>
          <w:tcPr>
            <w:tcW w:w="876" w:type="dxa"/>
            <w:tcBorders>
              <w:top w:val="nil"/>
              <w:left w:val="nil"/>
              <w:bottom w:val="nil"/>
              <w:right w:val="nil"/>
            </w:tcBorders>
            <w:shd w:val="clear" w:color="auto" w:fill="auto"/>
            <w:vAlign w:val="center"/>
          </w:tcPr>
          <w:p w14:paraId="3FB7871C">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0.26</w:t>
            </w:r>
          </w:p>
        </w:tc>
        <w:tc>
          <w:tcPr>
            <w:tcW w:w="803" w:type="dxa"/>
            <w:tcBorders>
              <w:top w:val="nil"/>
              <w:left w:val="nil"/>
              <w:bottom w:val="nil"/>
              <w:right w:val="nil"/>
            </w:tcBorders>
            <w:shd w:val="clear" w:color="auto" w:fill="auto"/>
            <w:vAlign w:val="center"/>
          </w:tcPr>
          <w:p w14:paraId="207D145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0.4</w:t>
            </w:r>
          </w:p>
        </w:tc>
        <w:tc>
          <w:tcPr>
            <w:tcW w:w="803" w:type="dxa"/>
            <w:tcBorders>
              <w:top w:val="nil"/>
              <w:left w:val="nil"/>
              <w:bottom w:val="nil"/>
              <w:right w:val="nil"/>
            </w:tcBorders>
            <w:shd w:val="clear" w:color="auto" w:fill="auto"/>
            <w:vAlign w:val="center"/>
          </w:tcPr>
          <w:p w14:paraId="6546C766">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1.6</w:t>
            </w:r>
          </w:p>
        </w:tc>
      </w:tr>
      <w:tr w14:paraId="6856FACA">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590" w:type="dxa"/>
            <w:tcBorders>
              <w:top w:val="nil"/>
              <w:left w:val="nil"/>
              <w:bottom w:val="single" w:color="auto" w:sz="12" w:space="0"/>
              <w:right w:val="nil"/>
            </w:tcBorders>
            <w:shd w:val="clear" w:color="auto" w:fill="auto"/>
            <w:vAlign w:val="center"/>
          </w:tcPr>
          <w:p w14:paraId="4C60B6E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社会议题探讨</w:t>
            </w:r>
          </w:p>
        </w:tc>
        <w:tc>
          <w:tcPr>
            <w:tcW w:w="544" w:type="dxa"/>
            <w:tcBorders>
              <w:top w:val="nil"/>
              <w:left w:val="nil"/>
              <w:bottom w:val="single" w:color="auto" w:sz="12" w:space="0"/>
              <w:right w:val="nil"/>
            </w:tcBorders>
            <w:shd w:val="clear" w:color="auto" w:fill="auto"/>
            <w:vAlign w:val="center"/>
          </w:tcPr>
          <w:p w14:paraId="716033C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w:t>
            </w:r>
          </w:p>
        </w:tc>
        <w:tc>
          <w:tcPr>
            <w:tcW w:w="750" w:type="dxa"/>
            <w:tcBorders>
              <w:top w:val="nil"/>
              <w:left w:val="nil"/>
              <w:bottom w:val="single" w:color="auto" w:sz="12" w:space="0"/>
              <w:right w:val="nil"/>
            </w:tcBorders>
            <w:shd w:val="clear" w:color="auto" w:fill="auto"/>
            <w:vAlign w:val="center"/>
          </w:tcPr>
          <w:p w14:paraId="7F39991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1077</w:t>
            </w:r>
          </w:p>
        </w:tc>
        <w:tc>
          <w:tcPr>
            <w:tcW w:w="1352" w:type="dxa"/>
            <w:tcBorders>
              <w:top w:val="nil"/>
              <w:left w:val="nil"/>
              <w:bottom w:val="single" w:color="auto" w:sz="12" w:space="0"/>
              <w:right w:val="nil"/>
            </w:tcBorders>
            <w:shd w:val="clear" w:color="auto" w:fill="auto"/>
            <w:vAlign w:val="center"/>
          </w:tcPr>
          <w:p w14:paraId="21CF7B0C">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1800.940898</w:t>
            </w:r>
          </w:p>
        </w:tc>
        <w:tc>
          <w:tcPr>
            <w:tcW w:w="831" w:type="dxa"/>
            <w:tcBorders>
              <w:top w:val="nil"/>
              <w:left w:val="nil"/>
              <w:bottom w:val="single" w:color="auto" w:sz="12" w:space="0"/>
              <w:right w:val="nil"/>
            </w:tcBorders>
            <w:shd w:val="clear" w:color="auto" w:fill="auto"/>
            <w:vAlign w:val="center"/>
          </w:tcPr>
          <w:p w14:paraId="27392E6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22.8</w:t>
            </w:r>
          </w:p>
        </w:tc>
        <w:tc>
          <w:tcPr>
            <w:tcW w:w="831" w:type="dxa"/>
            <w:tcBorders>
              <w:top w:val="nil"/>
              <w:left w:val="nil"/>
              <w:bottom w:val="single" w:color="auto" w:sz="12" w:space="0"/>
              <w:right w:val="nil"/>
            </w:tcBorders>
            <w:shd w:val="clear" w:color="auto" w:fill="auto"/>
            <w:vAlign w:val="center"/>
          </w:tcPr>
          <w:p w14:paraId="5D12FF1C">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22.8</w:t>
            </w:r>
          </w:p>
        </w:tc>
        <w:tc>
          <w:tcPr>
            <w:tcW w:w="876" w:type="dxa"/>
            <w:tcBorders>
              <w:top w:val="nil"/>
              <w:left w:val="nil"/>
              <w:bottom w:val="single" w:color="auto" w:sz="12" w:space="0"/>
              <w:right w:val="nil"/>
            </w:tcBorders>
            <w:shd w:val="clear" w:color="auto" w:fill="auto"/>
            <w:vAlign w:val="center"/>
          </w:tcPr>
          <w:p w14:paraId="44B95671">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0.12</w:t>
            </w:r>
          </w:p>
        </w:tc>
        <w:tc>
          <w:tcPr>
            <w:tcW w:w="876" w:type="dxa"/>
            <w:tcBorders>
              <w:top w:val="nil"/>
              <w:left w:val="nil"/>
              <w:bottom w:val="single" w:color="auto" w:sz="12" w:space="0"/>
              <w:right w:val="nil"/>
            </w:tcBorders>
            <w:shd w:val="clear" w:color="auto" w:fill="auto"/>
            <w:vAlign w:val="center"/>
          </w:tcPr>
          <w:p w14:paraId="43D0E793">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0.12</w:t>
            </w:r>
          </w:p>
        </w:tc>
        <w:tc>
          <w:tcPr>
            <w:tcW w:w="803" w:type="dxa"/>
            <w:tcBorders>
              <w:top w:val="nil"/>
              <w:left w:val="nil"/>
              <w:bottom w:val="single" w:color="auto" w:sz="12" w:space="0"/>
              <w:right w:val="nil"/>
            </w:tcBorders>
            <w:shd w:val="clear" w:color="auto" w:fill="auto"/>
            <w:vAlign w:val="center"/>
          </w:tcPr>
          <w:p w14:paraId="46A3CB2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0.8</w:t>
            </w:r>
          </w:p>
        </w:tc>
        <w:tc>
          <w:tcPr>
            <w:tcW w:w="803" w:type="dxa"/>
            <w:tcBorders>
              <w:top w:val="nil"/>
              <w:left w:val="nil"/>
              <w:bottom w:val="single" w:color="auto" w:sz="12" w:space="0"/>
              <w:right w:val="nil"/>
            </w:tcBorders>
            <w:shd w:val="clear" w:color="auto" w:fill="auto"/>
            <w:vAlign w:val="center"/>
          </w:tcPr>
          <w:p w14:paraId="5554F286">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1.9</w:t>
            </w:r>
          </w:p>
        </w:tc>
      </w:tr>
    </w:tbl>
    <w:p w14:paraId="112642FF">
      <w:pPr>
        <w:keepNext w:val="0"/>
        <w:keepLines w:val="0"/>
        <w:widowControl/>
        <w:numPr>
          <w:ilvl w:val="0"/>
          <w:numId w:val="0"/>
        </w:numPr>
        <w:suppressLineNumbers w:val="0"/>
        <w:pBdr>
          <w:left w:val="none" w:color="auto" w:sz="0" w:space="0"/>
        </w:pBdr>
        <w:tabs>
          <w:tab w:val="left" w:pos="720"/>
        </w:tabs>
        <w:spacing w:before="0" w:beforeAutospacing="1" w:after="0" w:afterAutospacing="1"/>
        <w:jc w:val="center"/>
      </w:pPr>
      <w:r>
        <w:rPr>
          <w:rFonts w:hint="eastAsia" w:asciiTheme="minorEastAsia" w:hAnsiTheme="minorEastAsia" w:eastAsiaTheme="minorEastAsia" w:cstheme="minorEastAsia"/>
        </w:rPr>
        <w:t xml:space="preserve">表 </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SEQ 表 \* ARABIC </w:instrText>
      </w:r>
      <w:r>
        <w:rPr>
          <w:rFonts w:hint="eastAsia" w:asciiTheme="minorEastAsia" w:hAnsiTheme="minorEastAsia" w:eastAsiaTheme="minorEastAsia" w:cstheme="minorEastAsia"/>
        </w:rPr>
        <w:fldChar w:fldCharType="separate"/>
      </w:r>
      <w:r>
        <w:rPr>
          <w:rFonts w:hint="eastAsia" w:asciiTheme="minorEastAsia" w:hAnsiTheme="minorEastAsia" w:eastAsiaTheme="minorEastAsia" w:cstheme="minorEastAsia"/>
        </w:rPr>
        <w:t>3</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val="en-US" w:eastAsia="zh-CN"/>
        </w:rPr>
        <w:t xml:space="preserve"> </w:t>
      </w:r>
      <w:r>
        <w:rPr>
          <w:rFonts w:hint="eastAsia" w:asciiTheme="minorEastAsia" w:hAnsiTheme="minorEastAsia" w:eastAsiaTheme="minorEastAsia" w:cstheme="minorEastAsia"/>
        </w:rPr>
        <w:t>传播主题统计分析</w:t>
      </w:r>
    </w:p>
    <w:p w14:paraId="70B73186">
      <w:pPr>
        <w:pStyle w:val="11"/>
        <w:keepNext w:val="0"/>
        <w:keepLines w:val="0"/>
        <w:widowControl/>
        <w:suppressLineNumbers w:val="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5266690" cy="2428875"/>
            <wp:effectExtent l="0" t="0" r="10160" b="9525"/>
            <wp:docPr id="27" name="图片 27" descr="图2_原始分析与加权分析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2_原始分析与加权分析对比"/>
                    <pic:cNvPicPr>
                      <a:picLocks noChangeAspect="1"/>
                    </pic:cNvPicPr>
                  </pic:nvPicPr>
                  <pic:blipFill>
                    <a:blip r:embed="rId9"/>
                    <a:stretch>
                      <a:fillRect/>
                    </a:stretch>
                  </pic:blipFill>
                  <pic:spPr>
                    <a:xfrm>
                      <a:off x="0" y="0"/>
                      <a:ext cx="5266690" cy="2428875"/>
                    </a:xfrm>
                    <a:prstGeom prst="rect">
                      <a:avLst/>
                    </a:prstGeom>
                  </pic:spPr>
                </pic:pic>
              </a:graphicData>
            </a:graphic>
          </wp:inline>
        </w:drawing>
      </w:r>
    </w:p>
    <w:p w14:paraId="3274FF3A">
      <w:pPr>
        <w:pStyle w:val="6"/>
        <w:keepNext w:val="0"/>
        <w:keepLines w:val="0"/>
        <w:widowControl/>
        <w:suppressLineNumbers w:val="0"/>
        <w:jc w:val="center"/>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rPr>
        <w:t xml:space="preserve">图 </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SEQ 图 \* ARABIC </w:instrText>
      </w:r>
      <w:r>
        <w:rPr>
          <w:rFonts w:hint="eastAsia" w:asciiTheme="minorEastAsia" w:hAnsiTheme="minorEastAsia" w:eastAsiaTheme="minorEastAsia" w:cstheme="minorEastAsia"/>
        </w:rPr>
        <w:fldChar w:fldCharType="separate"/>
      </w:r>
      <w:r>
        <w:rPr>
          <w:rFonts w:hint="eastAsia" w:asciiTheme="minorEastAsia" w:hAnsiTheme="minorEastAsia" w:eastAsiaTheme="minorEastAsia" w:cstheme="minorEastAsia"/>
        </w:rPr>
        <w:t>3</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val="en-US" w:eastAsia="zh-CN"/>
        </w:rPr>
        <w:t xml:space="preserve"> 原始分析与加权分析对比</w:t>
      </w:r>
    </w:p>
    <w:p w14:paraId="351D8A4E">
      <w:pPr>
        <w:pStyle w:val="11"/>
        <w:keepNext w:val="0"/>
        <w:keepLines w:val="0"/>
        <w:widowControl/>
        <w:suppressLineNumbers w:val="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5266690" cy="2935605"/>
            <wp:effectExtent l="0" t="0" r="10160" b="0"/>
            <wp:docPr id="28" name="图片 28" descr="图3_各传播主题加权正面率排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3_各传播主题加权正面率排名"/>
                    <pic:cNvPicPr>
                      <a:picLocks noChangeAspect="1"/>
                    </pic:cNvPicPr>
                  </pic:nvPicPr>
                  <pic:blipFill>
                    <a:blip r:embed="rId10"/>
                    <a:stretch>
                      <a:fillRect/>
                    </a:stretch>
                  </pic:blipFill>
                  <pic:spPr>
                    <a:xfrm>
                      <a:off x="0" y="0"/>
                      <a:ext cx="5266690" cy="2935605"/>
                    </a:xfrm>
                    <a:prstGeom prst="rect">
                      <a:avLst/>
                    </a:prstGeom>
                  </pic:spPr>
                </pic:pic>
              </a:graphicData>
            </a:graphic>
          </wp:inline>
        </w:drawing>
      </w:r>
    </w:p>
    <w:p w14:paraId="597BD63C">
      <w:pPr>
        <w:keepNext w:val="0"/>
        <w:keepLines w:val="0"/>
        <w:widowControl/>
        <w:suppressLineNumbers w:val="0"/>
        <w:jc w:val="center"/>
        <w:rPr>
          <w:rFonts w:hint="eastAsia" w:asciiTheme="minorEastAsia" w:hAnsiTheme="minorEastAsia" w:eastAsiaTheme="minorEastAsia" w:cstheme="minorEastAsia"/>
          <w:kern w:val="0"/>
          <w:sz w:val="20"/>
          <w:szCs w:val="20"/>
          <w:lang w:val="en-US" w:eastAsia="zh-CN" w:bidi="ar"/>
        </w:rPr>
      </w:pPr>
      <w:r>
        <w:rPr>
          <w:rFonts w:hint="eastAsia" w:asciiTheme="minorEastAsia" w:hAnsiTheme="minorEastAsia" w:eastAsiaTheme="minorEastAsia" w:cstheme="minorEastAsia"/>
          <w:sz w:val="20"/>
          <w:szCs w:val="20"/>
        </w:rPr>
        <w:t xml:space="preserve">图 </w:t>
      </w:r>
      <w:r>
        <w:rPr>
          <w:rFonts w:hint="eastAsia" w:asciiTheme="minorEastAsia" w:hAnsiTheme="minorEastAsia" w:eastAsiaTheme="minorEastAsia" w:cstheme="minorEastAsia"/>
          <w:sz w:val="20"/>
          <w:szCs w:val="20"/>
        </w:rPr>
        <w:fldChar w:fldCharType="begin"/>
      </w:r>
      <w:r>
        <w:rPr>
          <w:rFonts w:hint="eastAsia" w:asciiTheme="minorEastAsia" w:hAnsiTheme="minorEastAsia" w:eastAsiaTheme="minorEastAsia" w:cstheme="minorEastAsia"/>
          <w:sz w:val="20"/>
          <w:szCs w:val="20"/>
        </w:rPr>
        <w:instrText xml:space="preserve"> SEQ 图 \* ARABIC </w:instrText>
      </w:r>
      <w:r>
        <w:rPr>
          <w:rFonts w:hint="eastAsia" w:asciiTheme="minorEastAsia" w:hAnsiTheme="minorEastAsia" w:eastAsiaTheme="minorEastAsia" w:cstheme="minorEastAsia"/>
          <w:sz w:val="20"/>
          <w:szCs w:val="20"/>
        </w:rPr>
        <w:fldChar w:fldCharType="separate"/>
      </w:r>
      <w:r>
        <w:rPr>
          <w:rFonts w:hint="eastAsia" w:asciiTheme="minorEastAsia" w:hAnsiTheme="minorEastAsia" w:eastAsiaTheme="minorEastAsia" w:cstheme="minorEastAsia"/>
          <w:sz w:val="20"/>
          <w:szCs w:val="20"/>
        </w:rPr>
        <w:t>4</w:t>
      </w:r>
      <w:r>
        <w:rPr>
          <w:rFonts w:hint="eastAsia" w:asciiTheme="minorEastAsia" w:hAnsiTheme="minorEastAsia" w:eastAsiaTheme="minorEastAsia" w:cstheme="minorEastAsia"/>
          <w:sz w:val="20"/>
          <w:szCs w:val="20"/>
        </w:rPr>
        <w:fldChar w:fldCharType="end"/>
      </w:r>
      <w:r>
        <w:rPr>
          <w:rFonts w:hint="eastAsia" w:asciiTheme="minorEastAsia" w:hAnsiTheme="minorEastAsia" w:eastAsiaTheme="minorEastAsia" w:cstheme="minorEastAsia"/>
          <w:sz w:val="20"/>
          <w:szCs w:val="20"/>
          <w:lang w:val="en-US" w:eastAsia="zh-CN"/>
        </w:rPr>
        <w:t xml:space="preserve"> </w:t>
      </w:r>
      <w:r>
        <w:rPr>
          <w:rFonts w:hint="eastAsia" w:asciiTheme="minorEastAsia" w:hAnsiTheme="minorEastAsia" w:eastAsiaTheme="minorEastAsia" w:cstheme="minorEastAsia"/>
          <w:kern w:val="0"/>
          <w:sz w:val="20"/>
          <w:szCs w:val="20"/>
          <w:lang w:val="en-US" w:eastAsia="zh-CN" w:bidi="ar"/>
        </w:rPr>
        <w:t>各传播主题加权正面率排名</w:t>
      </w:r>
    </w:p>
    <w:p w14:paraId="247C9917">
      <w:pPr>
        <w:pStyle w:val="11"/>
        <w:keepNext w:val="0"/>
        <w:keepLines w:val="0"/>
        <w:widowControl/>
        <w:suppressLineNumbers w:val="0"/>
        <w:spacing w:before="0" w:beforeAutospacing="1" w:after="0" w:afterAutospacing="1"/>
        <w:ind w:left="0" w:right="0"/>
        <w:jc w:val="left"/>
        <w:rPr>
          <w:rFonts w:hint="eastAsia"/>
        </w:rPr>
      </w:pPr>
      <w:r>
        <w:rPr>
          <w:rFonts w:hint="eastAsia"/>
        </w:rPr>
        <w:t>借助评论内容的词云分析（见图 5），可以直观把握用户聚焦的文化关注点。从词汇出现的频次来看，用户评论明显偏向文化类主题：像 “敦煌”“凉州”“归义军” 这类历史地理相关的词汇高频出现，能看出游戏在地域文化传播上确实起到了不错的效果；而 “感动”“震撼”“支持” 这类体现情感认同的词分布较密，也从语义角度呼应了之前的情感分析结论；另外 “壁画”“古曲”“乐舞” 等传统艺术相关词汇的突出呈现，说明用户对游戏里融入的传统艺术形式有着比较深入的感知。</w:t>
      </w:r>
    </w:p>
    <w:p w14:paraId="7D4E7B47">
      <w:pPr>
        <w:pStyle w:val="11"/>
        <w:keepNext w:val="0"/>
        <w:keepLines w:val="0"/>
        <w:widowControl/>
        <w:suppressLineNumbers w:val="0"/>
        <w:spacing w:before="0" w:beforeAutospacing="1" w:after="0" w:afterAutospacing="1"/>
        <w:ind w:left="0" w:right="0"/>
        <w:jc w:val="left"/>
      </w:pPr>
      <w:r>
        <w:rPr>
          <w:rFonts w:hint="eastAsia"/>
        </w:rPr>
        <w:t>特别值得注意的是，“张议潮”“动作捕捉”等专业历史名词和技术术语获得高频提及，表明游戏内容有效激发了用户对历史文化和技术艺术的探索兴趣。词云分析从语义维度进一步证实了“核心文化传承”主题在构建用户文化认知方面的核心作用，同时也揭示了用户在接触游戏文化内容时的情感共鸣点和知识关注点。</w:t>
      </w:r>
    </w:p>
    <w:p w14:paraId="59DE15CB">
      <w:pPr>
        <w:keepNext w:val="0"/>
        <w:keepLines w:val="0"/>
        <w:widowControl/>
        <w:suppressLineNumbers w:val="0"/>
        <w:jc w:val="both"/>
        <w:rPr>
          <w:rFonts w:hint="eastAsia" w:asciiTheme="minorEastAsia" w:hAnsiTheme="minorEastAsia" w:eastAsiaTheme="minorEastAsia" w:cstheme="minorEastAsia"/>
          <w:kern w:val="0"/>
          <w:sz w:val="20"/>
          <w:szCs w:val="20"/>
          <w:lang w:val="en-US" w:eastAsia="zh-CN" w:bidi="ar"/>
        </w:rPr>
      </w:pPr>
      <w:r>
        <w:rPr>
          <w:rFonts w:hint="eastAsia" w:asciiTheme="minorEastAsia" w:hAnsiTheme="minorEastAsia" w:eastAsiaTheme="minorEastAsia" w:cstheme="minorEastAsia"/>
          <w:kern w:val="0"/>
          <w:sz w:val="20"/>
          <w:szCs w:val="20"/>
          <w:lang w:val="en-US" w:eastAsia="zh-CN" w:bidi="ar"/>
        </w:rPr>
        <w:drawing>
          <wp:inline distT="0" distB="0" distL="114300" distR="114300">
            <wp:extent cx="5270500" cy="3607435"/>
            <wp:effectExtent l="0" t="0" r="6350" b="12065"/>
            <wp:docPr id="23" name="图片 23" descr="词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词云图"/>
                    <pic:cNvPicPr>
                      <a:picLocks noChangeAspect="1"/>
                    </pic:cNvPicPr>
                  </pic:nvPicPr>
                  <pic:blipFill>
                    <a:blip r:embed="rId11"/>
                    <a:stretch>
                      <a:fillRect/>
                    </a:stretch>
                  </pic:blipFill>
                  <pic:spPr>
                    <a:xfrm>
                      <a:off x="0" y="0"/>
                      <a:ext cx="5270500" cy="3607435"/>
                    </a:xfrm>
                    <a:prstGeom prst="rect">
                      <a:avLst/>
                    </a:prstGeom>
                  </pic:spPr>
                </pic:pic>
              </a:graphicData>
            </a:graphic>
          </wp:inline>
        </w:drawing>
      </w:r>
    </w:p>
    <w:p w14:paraId="50002A0F">
      <w:pPr>
        <w:pStyle w:val="6"/>
        <w:keepNext w:val="0"/>
        <w:keepLines w:val="0"/>
        <w:widowControl/>
        <w:suppressLineNumbers w:val="0"/>
        <w:jc w:val="center"/>
        <w:rPr>
          <w:rFonts w:hint="default" w:eastAsia="黑体" w:asciiTheme="minorEastAsia" w:hAnsiTheme="minorEastAsia" w:cstheme="minorEastAsia"/>
          <w:kern w:val="0"/>
          <w:sz w:val="20"/>
          <w:szCs w:val="20"/>
          <w:lang w:val="en-US" w:eastAsia="zh-CN" w:bidi="ar"/>
        </w:rPr>
      </w:pPr>
      <w:r>
        <w:t xml:space="preserve">图 </w:t>
      </w:r>
      <w:r>
        <w:fldChar w:fldCharType="begin"/>
      </w:r>
      <w:r>
        <w:instrText xml:space="preserve"> SEQ 图 \* ARABIC </w:instrText>
      </w:r>
      <w:r>
        <w:fldChar w:fldCharType="separate"/>
      </w:r>
      <w:r>
        <w:t>5</w:t>
      </w:r>
      <w:r>
        <w:fldChar w:fldCharType="end"/>
      </w:r>
      <w:r>
        <w:rPr>
          <w:rFonts w:hint="eastAsia"/>
          <w:lang w:val="en-US" w:eastAsia="zh-CN"/>
        </w:rPr>
        <w:t xml:space="preserve"> 评论内容词云图</w:t>
      </w:r>
    </w:p>
    <w:p w14:paraId="6EE9A007">
      <w:pPr>
        <w:pStyle w:val="4"/>
        <w:keepNext w:val="0"/>
        <w:keepLines w:val="0"/>
        <w:widowControl/>
        <w:numPr>
          <w:ilvl w:val="0"/>
          <w:numId w:val="0"/>
        </w:numPr>
        <w:suppressLineNumbers w:val="0"/>
        <w:pBdr>
          <w:left w:val="none" w:color="auto" w:sz="0" w:space="0"/>
        </w:pBdr>
        <w:ind w:leftChars="0"/>
        <w:jc w:val="left"/>
      </w:pPr>
      <w:bookmarkStart w:id="14" w:name="_Toc16742"/>
      <w:r>
        <w:t>4.3 深度情感与行为转化：叙事类主题更易激发深度反馈</w:t>
      </w:r>
      <w:bookmarkEnd w:id="14"/>
    </w:p>
    <w:p w14:paraId="06258133">
      <w:pPr>
        <w:pStyle w:val="5"/>
        <w:keepNext w:val="0"/>
        <w:keepLines w:val="0"/>
        <w:widowControl/>
        <w:numPr>
          <w:ilvl w:val="0"/>
          <w:numId w:val="0"/>
        </w:numPr>
        <w:suppressLineNumbers w:val="0"/>
        <w:pBdr>
          <w:left w:val="none" w:color="auto" w:sz="0" w:space="0"/>
        </w:pBdr>
        <w:ind w:leftChars="0"/>
        <w:jc w:val="left"/>
      </w:pPr>
      <w:r>
        <w:t>4.3.1 深度情感比例：深度叙事解读主题最优</w:t>
      </w:r>
    </w:p>
    <w:p w14:paraId="3BD79747">
      <w:pPr>
        <w:pStyle w:val="11"/>
        <w:keepNext w:val="0"/>
        <w:keepLines w:val="0"/>
        <w:widowControl/>
        <w:suppressLineNumbers w:val="0"/>
        <w:spacing w:before="0" w:beforeAutospacing="1" w:after="0" w:afterAutospacing="1"/>
        <w:ind w:left="0" w:right="0"/>
        <w:jc w:val="left"/>
      </w:pPr>
      <w:r>
        <w:t>深度情感比例（图</w:t>
      </w:r>
      <w:r>
        <w:rPr>
          <w:rFonts w:hint="eastAsia"/>
          <w:lang w:val="en-US" w:eastAsia="zh-CN"/>
        </w:rPr>
        <w:t>6</w:t>
      </w:r>
      <w:r>
        <w:t>）反映不同主题激发 “文化自豪、情感共鸣” 的能力：</w:t>
      </w:r>
    </w:p>
    <w:p w14:paraId="10C01605">
      <w:pPr>
        <w:pStyle w:val="11"/>
        <w:keepNext w:val="0"/>
        <w:keepLines w:val="0"/>
        <w:widowControl/>
        <w:numPr>
          <w:ilvl w:val="0"/>
          <w:numId w:val="0"/>
        </w:numPr>
        <w:suppressLineNumbers w:val="0"/>
        <w:spacing w:before="0" w:beforeAutospacing="1" w:after="0" w:afterAutospacing="1"/>
        <w:ind w:leftChars="0" w:right="0" w:rightChars="0"/>
        <w:jc w:val="left"/>
      </w:pPr>
      <w:r>
        <w:rPr>
          <w:rFonts w:hint="eastAsia"/>
        </w:rPr>
        <w:t>“深度叙事解读”以1.8%的深度情感比例排名第一，说明“通过剧情解读文化”的方式更易让用户产生深度情感共鸣（如对历史人物命运的共情、对文化精神的认同）；“核心文化传承”与“社会责任实践”并列第二（1.2%），前者因“直接呈现文化符号”（如敦煌壁画还原）、后者因“传递公益价值”，均能引发部分深度情感；“文旅融合体验”深度情感比例为0%，尽管其整体正面率最高，但多停留在“视觉震撼”（如“敦煌场景太美了”）的表层反馈，尚未转化为深度情感；所有主题的深度情感比例均低于2%，反映当前游戏文化传播在“情感内化”方面仍有较大提升空间。</w:t>
      </w:r>
    </w:p>
    <w:p w14:paraId="5D0FFFC6">
      <w:pPr>
        <w:keepNext w:val="0"/>
        <w:keepLines w:val="0"/>
        <w:widowControl/>
        <w:suppressLineNumbers w:val="0"/>
        <w:jc w:val="center"/>
      </w:pPr>
      <w:r>
        <w:rPr>
          <w:rFonts w:hint="eastAsia" w:asciiTheme="minorEastAsia" w:hAnsiTheme="minorEastAsia" w:eastAsiaTheme="minorEastAsia" w:cstheme="minorEastAsia"/>
        </w:rPr>
        <w:drawing>
          <wp:inline distT="0" distB="0" distL="114300" distR="114300">
            <wp:extent cx="5266690" cy="2898775"/>
            <wp:effectExtent l="0" t="0" r="10160" b="15875"/>
            <wp:docPr id="29" name="图片 29" descr="图4_各主题深度情感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4_各主题深度情感比例"/>
                    <pic:cNvPicPr>
                      <a:picLocks noChangeAspect="1"/>
                    </pic:cNvPicPr>
                  </pic:nvPicPr>
                  <pic:blipFill>
                    <a:blip r:embed="rId12"/>
                    <a:stretch>
                      <a:fillRect/>
                    </a:stretch>
                  </pic:blipFill>
                  <pic:spPr>
                    <a:xfrm>
                      <a:off x="0" y="0"/>
                      <a:ext cx="5266690" cy="2898775"/>
                    </a:xfrm>
                    <a:prstGeom prst="rect">
                      <a:avLst/>
                    </a:prstGeom>
                  </pic:spPr>
                </pic:pic>
              </a:graphicData>
            </a:graphic>
          </wp:inline>
        </w:drawing>
      </w:r>
      <w:r>
        <w:rPr>
          <w:rFonts w:hint="eastAsia" w:asciiTheme="minorEastAsia" w:hAnsiTheme="minorEastAsia" w:eastAsiaTheme="minorEastAsia" w:cstheme="minorEastAsia"/>
          <w:sz w:val="20"/>
          <w:szCs w:val="20"/>
        </w:rPr>
        <w:t xml:space="preserve">图 </w:t>
      </w:r>
      <w:r>
        <w:rPr>
          <w:rFonts w:hint="eastAsia" w:asciiTheme="minorEastAsia" w:hAnsiTheme="minorEastAsia" w:eastAsiaTheme="minorEastAsia" w:cstheme="minorEastAsia"/>
          <w:sz w:val="20"/>
          <w:szCs w:val="20"/>
        </w:rPr>
        <w:fldChar w:fldCharType="begin"/>
      </w:r>
      <w:r>
        <w:rPr>
          <w:rFonts w:hint="eastAsia" w:asciiTheme="minorEastAsia" w:hAnsiTheme="minorEastAsia" w:eastAsiaTheme="minorEastAsia" w:cstheme="minorEastAsia"/>
          <w:sz w:val="20"/>
          <w:szCs w:val="20"/>
        </w:rPr>
        <w:instrText xml:space="preserve"> SEQ 图 \* ARABIC </w:instrText>
      </w:r>
      <w:r>
        <w:rPr>
          <w:rFonts w:hint="eastAsia" w:asciiTheme="minorEastAsia" w:hAnsiTheme="minorEastAsia" w:eastAsiaTheme="minorEastAsia" w:cstheme="minorEastAsia"/>
          <w:sz w:val="20"/>
          <w:szCs w:val="20"/>
        </w:rPr>
        <w:fldChar w:fldCharType="separate"/>
      </w:r>
      <w:r>
        <w:rPr>
          <w:rFonts w:hint="eastAsia" w:asciiTheme="minorEastAsia" w:hAnsiTheme="minorEastAsia" w:eastAsiaTheme="minorEastAsia" w:cstheme="minorEastAsia"/>
          <w:sz w:val="20"/>
          <w:szCs w:val="20"/>
        </w:rPr>
        <w:t>6</w:t>
      </w:r>
      <w:r>
        <w:rPr>
          <w:rFonts w:hint="eastAsia" w:asciiTheme="minorEastAsia" w:hAnsiTheme="minorEastAsia" w:eastAsiaTheme="minorEastAsia" w:cstheme="minorEastAsia"/>
          <w:sz w:val="20"/>
          <w:szCs w:val="20"/>
        </w:rPr>
        <w:fldChar w:fldCharType="end"/>
      </w:r>
      <w:r>
        <w:rPr>
          <w:rFonts w:hint="eastAsia" w:asciiTheme="minorEastAsia" w:hAnsiTheme="minorEastAsia" w:eastAsiaTheme="minorEastAsia" w:cstheme="minorEastAsia"/>
          <w:sz w:val="20"/>
          <w:szCs w:val="20"/>
          <w:lang w:val="en-US" w:eastAsia="zh-CN"/>
        </w:rPr>
        <w:t xml:space="preserve"> </w:t>
      </w:r>
      <w:r>
        <w:rPr>
          <w:rFonts w:hint="eastAsia" w:asciiTheme="minorEastAsia" w:hAnsiTheme="minorEastAsia" w:eastAsiaTheme="minorEastAsia" w:cstheme="minorEastAsia"/>
          <w:kern w:val="0"/>
          <w:sz w:val="20"/>
          <w:szCs w:val="20"/>
          <w:lang w:val="en-US" w:eastAsia="zh-CN" w:bidi="ar"/>
        </w:rPr>
        <w:t>各主题深度情感比例</w:t>
      </w:r>
    </w:p>
    <w:p w14:paraId="1B50BA71">
      <w:pPr>
        <w:pStyle w:val="5"/>
        <w:keepNext w:val="0"/>
        <w:keepLines w:val="0"/>
        <w:widowControl/>
        <w:numPr>
          <w:ilvl w:val="0"/>
          <w:numId w:val="0"/>
        </w:numPr>
        <w:suppressLineNumbers w:val="0"/>
        <w:pBdr>
          <w:left w:val="none" w:color="auto" w:sz="0" w:space="0"/>
        </w:pBdr>
        <w:ind w:leftChars="0"/>
        <w:jc w:val="left"/>
      </w:pPr>
      <w:r>
        <w:t>4.3.2 行为意向比例：核心文化传承主题领先</w:t>
      </w:r>
    </w:p>
    <w:p w14:paraId="5824C385">
      <w:pPr>
        <w:pStyle w:val="11"/>
        <w:keepNext w:val="0"/>
        <w:keepLines w:val="0"/>
        <w:widowControl/>
        <w:suppressLineNumbers w:val="0"/>
        <w:spacing w:before="0" w:beforeAutospacing="1" w:after="0" w:afterAutospacing="1"/>
        <w:ind w:left="0" w:right="0"/>
        <w:jc w:val="left"/>
        <w:rPr>
          <w:rFonts w:hint="eastAsia"/>
        </w:rPr>
      </w:pPr>
      <w:r>
        <w:rPr>
          <w:rFonts w:hint="eastAsia"/>
        </w:rPr>
        <w:t>行为意向比例（图7）衡量主题激发用户实际行动意愿的能力：</w:t>
      </w:r>
    </w:p>
    <w:p w14:paraId="5F9CB37F">
      <w:pPr>
        <w:pStyle w:val="11"/>
        <w:keepNext w:val="0"/>
        <w:keepLines w:val="0"/>
        <w:widowControl/>
        <w:suppressLineNumbers w:val="0"/>
        <w:spacing w:before="0" w:beforeAutospacing="1" w:after="0" w:afterAutospacing="1"/>
        <w:ind w:left="0" w:right="0"/>
        <w:jc w:val="left"/>
        <w:rPr>
          <w:rFonts w:hint="eastAsia"/>
        </w:rPr>
      </w:pPr>
      <w:r>
        <w:rPr>
          <w:rFonts w:hint="eastAsia"/>
        </w:rPr>
        <w:t>“核心文化传承”以9.8%的行为意向比例排名第一，其中“旅游意愿”（5.4%）与“搜索学习意愿”（3.2%）贡献最大，说明“直接呈现文化元素”的内容更易推动用户“主动了解文化、实地体验文化”；“文旅融合体验”与“深度叙事解读”并列第二（6.9%），前者因“线下地标的强关联”激发旅游意愿，后者因“剧情引发的好奇心”激发搜索学习意愿；“技术创新展示”（1.6%）与“社会议题探讨”（1.9%）的行为意向比例最低，反映“技术解读”与“社会讨论”类内容的“行动转化力”较弱；所有主题的“二次创作意愿”均低于1%，说明当前内容对用户“创作激励”不足，难以形成“传播-创作-再传播”的链式效应。</w:t>
      </w:r>
    </w:p>
    <w:p w14:paraId="27C68E83">
      <w:pPr>
        <w:pStyle w:val="11"/>
        <w:keepNext w:val="0"/>
        <w:keepLines w:val="0"/>
        <w:widowControl/>
        <w:suppressLineNumbers w:val="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5266690" cy="2905760"/>
            <wp:effectExtent l="0" t="0" r="10160" b="0"/>
            <wp:docPr id="30" name="图片 30" descr="图5_各主题行为意向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5_各主题行为意向比例"/>
                    <pic:cNvPicPr>
                      <a:picLocks noChangeAspect="1"/>
                    </pic:cNvPicPr>
                  </pic:nvPicPr>
                  <pic:blipFill>
                    <a:blip r:embed="rId13"/>
                    <a:stretch>
                      <a:fillRect/>
                    </a:stretch>
                  </pic:blipFill>
                  <pic:spPr>
                    <a:xfrm>
                      <a:off x="0" y="0"/>
                      <a:ext cx="5266690" cy="2905760"/>
                    </a:xfrm>
                    <a:prstGeom prst="rect">
                      <a:avLst/>
                    </a:prstGeom>
                  </pic:spPr>
                </pic:pic>
              </a:graphicData>
            </a:graphic>
          </wp:inline>
        </w:drawing>
      </w:r>
    </w:p>
    <w:p w14:paraId="72AD5063">
      <w:pPr>
        <w:pStyle w:val="6"/>
        <w:keepNext w:val="0"/>
        <w:keepLines w:val="0"/>
        <w:widowControl/>
        <w:suppressLineNumbers w:val="0"/>
        <w:jc w:val="center"/>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rPr>
        <w:t xml:space="preserve">图 </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SEQ 图 \* ARABIC </w:instrText>
      </w:r>
      <w:r>
        <w:rPr>
          <w:rFonts w:hint="eastAsia" w:asciiTheme="minorEastAsia" w:hAnsiTheme="minorEastAsia" w:eastAsiaTheme="minorEastAsia" w:cstheme="minorEastAsia"/>
        </w:rPr>
        <w:fldChar w:fldCharType="separate"/>
      </w:r>
      <w:r>
        <w:rPr>
          <w:rFonts w:hint="eastAsia" w:asciiTheme="minorEastAsia" w:hAnsiTheme="minorEastAsia" w:eastAsiaTheme="minorEastAsia" w:cstheme="minorEastAsia"/>
        </w:rPr>
        <w:t>7</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val="en-US" w:eastAsia="zh-CN"/>
        </w:rPr>
        <w:t xml:space="preserve"> 各主题行为意向比例</w:t>
      </w:r>
    </w:p>
    <w:p w14:paraId="46C32450">
      <w:pPr>
        <w:pStyle w:val="4"/>
        <w:keepNext w:val="0"/>
        <w:keepLines w:val="0"/>
        <w:widowControl/>
        <w:numPr>
          <w:ilvl w:val="0"/>
          <w:numId w:val="0"/>
        </w:numPr>
        <w:suppressLineNumbers w:val="0"/>
        <w:pBdr>
          <w:left w:val="none" w:color="auto" w:sz="0" w:space="0"/>
        </w:pBdr>
        <w:ind w:leftChars="0"/>
        <w:jc w:val="left"/>
      </w:pPr>
      <w:bookmarkStart w:id="15" w:name="_Toc12452"/>
      <w:r>
        <w:t>4.4 传播深度层次：主题间差异显著</w:t>
      </w:r>
      <w:bookmarkEnd w:id="15"/>
    </w:p>
    <w:p w14:paraId="738D1030">
      <w:pPr>
        <w:pStyle w:val="11"/>
        <w:keepNext w:val="0"/>
        <w:keepLines w:val="0"/>
        <w:widowControl/>
        <w:suppressLineNumbers w:val="0"/>
        <w:spacing w:before="0" w:beforeAutospacing="1" w:after="0" w:afterAutospacing="1"/>
        <w:ind w:left="0" w:right="0"/>
        <w:jc w:val="left"/>
        <w:rPr>
          <w:rFonts w:hint="eastAsia"/>
        </w:rPr>
      </w:pPr>
      <w:r>
        <w:rPr>
          <w:rFonts w:hint="eastAsia"/>
        </w:rPr>
        <w:t>传播深度层次以“认知-情感-行为”的综合效果为衡量标准，通过加权计算各主题的“传播深度得分”（表4、图8）：</w:t>
      </w:r>
    </w:p>
    <w:p w14:paraId="7B5BC758">
      <w:pPr>
        <w:pStyle w:val="11"/>
        <w:keepNext w:val="0"/>
        <w:keepLines w:val="0"/>
        <w:widowControl/>
        <w:suppressLineNumbers w:val="0"/>
        <w:spacing w:before="0" w:beforeAutospacing="1" w:after="0" w:afterAutospacing="1"/>
        <w:ind w:left="0" w:right="0"/>
        <w:jc w:val="left"/>
      </w:pPr>
      <w:r>
        <w:rPr>
          <w:rFonts w:hint="eastAsia"/>
        </w:rPr>
        <w:t>“核心文化传承”传播深度得分最高（24.6%），其“高关注度+较高情感反馈+最优行为转化”的组合，使其成为“综合效果最优”的主题；“深度叙事解读”排名第二（28.1%），凭借“最高关注度+最优深度情感”，在“用户参与深度”上表现突出；“社会议题探讨”排名第三（24.0%），尽管整体情感与行为转化较弱，但“中等关注度+稳定反馈”使其保持一定传播深度；“文旅融合体验”因样本量极小，未进入综合排名，但从“单位样本效果”来看，其“高情感反馈”仍具备挖掘潜力。</w:t>
      </w:r>
    </w:p>
    <w:tbl>
      <w:tblPr>
        <w:tblStyle w:val="12"/>
        <w:tblW w:w="8465" w:type="dxa"/>
        <w:jc w:val="center"/>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Layout w:type="autofit"/>
        <w:tblCellMar>
          <w:top w:w="15" w:type="dxa"/>
          <w:left w:w="15" w:type="dxa"/>
          <w:bottom w:w="15" w:type="dxa"/>
          <w:right w:w="15" w:type="dxa"/>
        </w:tblCellMar>
      </w:tblPr>
      <w:tblGrid>
        <w:gridCol w:w="1230"/>
        <w:gridCol w:w="1099"/>
        <w:gridCol w:w="1099"/>
        <w:gridCol w:w="1501"/>
        <w:gridCol w:w="1768"/>
        <w:gridCol w:w="1768"/>
      </w:tblGrid>
      <w:tr w14:paraId="5D21C721">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tblHeader/>
          <w:jc w:val="center"/>
        </w:trPr>
        <w:tc>
          <w:tcPr>
            <w:tcW w:w="1230" w:type="dxa"/>
            <w:tcBorders>
              <w:top w:val="single" w:color="auto" w:sz="12" w:space="0"/>
              <w:left w:val="nil"/>
              <w:bottom w:val="single" w:color="auto" w:sz="4" w:space="0"/>
              <w:right w:val="nil"/>
            </w:tcBorders>
            <w:shd w:val="clear" w:color="auto" w:fill="auto"/>
            <w:vAlign w:val="center"/>
          </w:tcPr>
          <w:p w14:paraId="6F93088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传播深度</w:t>
            </w:r>
          </w:p>
        </w:tc>
        <w:tc>
          <w:tcPr>
            <w:tcW w:w="1099" w:type="dxa"/>
            <w:tcBorders>
              <w:top w:val="single" w:color="auto" w:sz="12" w:space="0"/>
              <w:left w:val="nil"/>
              <w:bottom w:val="single" w:color="auto" w:sz="4" w:space="0"/>
              <w:right w:val="nil"/>
            </w:tcBorders>
            <w:shd w:val="clear" w:color="auto" w:fill="auto"/>
            <w:vAlign w:val="center"/>
          </w:tcPr>
          <w:p w14:paraId="4883DDA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主题数量</w:t>
            </w:r>
          </w:p>
        </w:tc>
        <w:tc>
          <w:tcPr>
            <w:tcW w:w="1099" w:type="dxa"/>
            <w:tcBorders>
              <w:top w:val="single" w:color="auto" w:sz="12" w:space="0"/>
              <w:left w:val="nil"/>
              <w:bottom w:val="single" w:color="auto" w:sz="4" w:space="0"/>
              <w:right w:val="nil"/>
            </w:tcBorders>
            <w:shd w:val="clear" w:color="auto" w:fill="auto"/>
            <w:vAlign w:val="center"/>
          </w:tcPr>
          <w:p w14:paraId="1260BBF3">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rPr>
            </w:pPr>
            <w:r>
              <w:rPr>
                <w:rStyle w:val="15"/>
                <w:rFonts w:hint="eastAsia" w:asciiTheme="minorEastAsia" w:hAnsiTheme="minorEastAsia" w:eastAsiaTheme="minorEastAsia" w:cstheme="minorEastAsia"/>
                <w:b/>
                <w:bCs/>
              </w:rPr>
              <w:t>评论数量</w:t>
            </w:r>
          </w:p>
        </w:tc>
        <w:tc>
          <w:tcPr>
            <w:tcW w:w="1501" w:type="dxa"/>
            <w:tcBorders>
              <w:top w:val="single" w:color="auto" w:sz="12" w:space="0"/>
              <w:left w:val="nil"/>
              <w:bottom w:val="single" w:color="auto" w:sz="4" w:space="0"/>
              <w:right w:val="nil"/>
            </w:tcBorders>
            <w:shd w:val="clear" w:color="auto" w:fill="auto"/>
            <w:vAlign w:val="center"/>
          </w:tcPr>
          <w:p w14:paraId="0250FF7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lang w:val="en-US" w:eastAsia="zh-CN"/>
              </w:rPr>
            </w:pPr>
            <w:r>
              <w:rPr>
                <w:rStyle w:val="15"/>
                <w:rFonts w:hint="eastAsia" w:asciiTheme="minorEastAsia" w:hAnsiTheme="minorEastAsia" w:eastAsiaTheme="minorEastAsia" w:cstheme="minorEastAsia"/>
                <w:b/>
                <w:bCs/>
              </w:rPr>
              <w:t>加权正面率</w:t>
            </w:r>
            <w:r>
              <w:rPr>
                <w:rFonts w:hint="eastAsia" w:asciiTheme="minorEastAsia" w:hAnsiTheme="minorEastAsia" w:cstheme="minorEastAsia"/>
                <w:b/>
                <w:lang w:val="en-US" w:eastAsia="zh-CN"/>
              </w:rPr>
              <w:t>%</w:t>
            </w:r>
          </w:p>
        </w:tc>
        <w:tc>
          <w:tcPr>
            <w:tcW w:w="1768" w:type="dxa"/>
            <w:tcBorders>
              <w:top w:val="single" w:color="auto" w:sz="12" w:space="0"/>
              <w:left w:val="nil"/>
              <w:bottom w:val="single" w:color="auto" w:sz="4" w:space="0"/>
              <w:right w:val="nil"/>
            </w:tcBorders>
            <w:shd w:val="clear" w:color="auto" w:fill="auto"/>
            <w:vAlign w:val="center"/>
          </w:tcPr>
          <w:p w14:paraId="0B0CE951">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lang w:val="en-US" w:eastAsia="zh-CN"/>
              </w:rPr>
            </w:pPr>
            <w:r>
              <w:rPr>
                <w:rStyle w:val="15"/>
                <w:rFonts w:hint="eastAsia" w:asciiTheme="minorEastAsia" w:hAnsiTheme="minorEastAsia" w:eastAsiaTheme="minorEastAsia" w:cstheme="minorEastAsia"/>
                <w:b/>
                <w:bCs/>
              </w:rPr>
              <w:t>深度情感比例</w:t>
            </w:r>
            <w:r>
              <w:rPr>
                <w:rFonts w:hint="eastAsia" w:asciiTheme="minorEastAsia" w:hAnsiTheme="minorEastAsia" w:cstheme="minorEastAsia"/>
                <w:b/>
                <w:lang w:val="en-US" w:eastAsia="zh-CN"/>
              </w:rPr>
              <w:t>%</w:t>
            </w:r>
          </w:p>
        </w:tc>
        <w:tc>
          <w:tcPr>
            <w:tcW w:w="1768" w:type="dxa"/>
            <w:tcBorders>
              <w:top w:val="single" w:color="auto" w:sz="12" w:space="0"/>
              <w:left w:val="nil"/>
              <w:bottom w:val="single" w:color="auto" w:sz="4" w:space="0"/>
              <w:right w:val="nil"/>
            </w:tcBorders>
            <w:shd w:val="clear" w:color="auto" w:fill="auto"/>
            <w:vAlign w:val="center"/>
          </w:tcPr>
          <w:p w14:paraId="1C96EBF3">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b/>
                <w:lang w:val="en-US" w:eastAsia="zh-CN"/>
              </w:rPr>
            </w:pPr>
            <w:r>
              <w:rPr>
                <w:rStyle w:val="15"/>
                <w:rFonts w:hint="eastAsia" w:asciiTheme="minorEastAsia" w:hAnsiTheme="minorEastAsia" w:eastAsiaTheme="minorEastAsia" w:cstheme="minorEastAsia"/>
                <w:b/>
                <w:bCs/>
              </w:rPr>
              <w:t>行为意向比例</w:t>
            </w:r>
            <w:r>
              <w:rPr>
                <w:rFonts w:hint="eastAsia" w:asciiTheme="minorEastAsia" w:hAnsiTheme="minorEastAsia" w:cstheme="minorEastAsia"/>
                <w:b/>
                <w:lang w:val="en-US" w:eastAsia="zh-CN"/>
              </w:rPr>
              <w:t>%</w:t>
            </w:r>
          </w:p>
        </w:tc>
      </w:tr>
      <w:tr w14:paraId="13F2697D">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230" w:type="dxa"/>
            <w:tcBorders>
              <w:top w:val="single" w:color="auto" w:sz="4" w:space="0"/>
              <w:left w:val="nil"/>
              <w:bottom w:val="nil"/>
              <w:right w:val="nil"/>
            </w:tcBorders>
            <w:shd w:val="clear" w:color="auto" w:fill="auto"/>
            <w:vAlign w:val="center"/>
          </w:tcPr>
          <w:p w14:paraId="7224036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价值传播</w:t>
            </w:r>
          </w:p>
        </w:tc>
        <w:tc>
          <w:tcPr>
            <w:tcW w:w="1099" w:type="dxa"/>
            <w:tcBorders>
              <w:top w:val="single" w:color="auto" w:sz="4" w:space="0"/>
              <w:left w:val="nil"/>
              <w:bottom w:val="nil"/>
              <w:right w:val="nil"/>
            </w:tcBorders>
            <w:shd w:val="clear" w:color="auto" w:fill="auto"/>
            <w:vAlign w:val="center"/>
          </w:tcPr>
          <w:p w14:paraId="57A19618">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w:t>
            </w:r>
          </w:p>
        </w:tc>
        <w:tc>
          <w:tcPr>
            <w:tcW w:w="1099" w:type="dxa"/>
            <w:tcBorders>
              <w:top w:val="single" w:color="auto" w:sz="4" w:space="0"/>
              <w:left w:val="nil"/>
              <w:bottom w:val="nil"/>
              <w:right w:val="nil"/>
            </w:tcBorders>
            <w:shd w:val="clear" w:color="auto" w:fill="auto"/>
            <w:vAlign w:val="center"/>
          </w:tcPr>
          <w:p w14:paraId="6ADD47DF">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2550</w:t>
            </w:r>
          </w:p>
        </w:tc>
        <w:tc>
          <w:tcPr>
            <w:tcW w:w="1501" w:type="dxa"/>
            <w:tcBorders>
              <w:top w:val="single" w:color="auto" w:sz="4" w:space="0"/>
              <w:left w:val="nil"/>
              <w:bottom w:val="nil"/>
              <w:right w:val="nil"/>
            </w:tcBorders>
            <w:shd w:val="clear" w:color="auto" w:fill="auto"/>
            <w:vAlign w:val="center"/>
          </w:tcPr>
          <w:p w14:paraId="7D24BCF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24.6</w:t>
            </w:r>
          </w:p>
        </w:tc>
        <w:tc>
          <w:tcPr>
            <w:tcW w:w="1768" w:type="dxa"/>
            <w:tcBorders>
              <w:top w:val="single" w:color="auto" w:sz="4" w:space="0"/>
              <w:left w:val="nil"/>
              <w:bottom w:val="nil"/>
              <w:right w:val="nil"/>
            </w:tcBorders>
            <w:shd w:val="clear" w:color="auto" w:fill="auto"/>
            <w:vAlign w:val="center"/>
          </w:tcPr>
          <w:p w14:paraId="0B793F9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1.0</w:t>
            </w:r>
          </w:p>
        </w:tc>
        <w:tc>
          <w:tcPr>
            <w:tcW w:w="1768" w:type="dxa"/>
            <w:tcBorders>
              <w:top w:val="single" w:color="auto" w:sz="4" w:space="0"/>
              <w:left w:val="nil"/>
              <w:bottom w:val="nil"/>
              <w:right w:val="nil"/>
            </w:tcBorders>
            <w:shd w:val="clear" w:color="auto" w:fill="auto"/>
            <w:vAlign w:val="center"/>
          </w:tcPr>
          <w:p w14:paraId="767F716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2.0</w:t>
            </w:r>
          </w:p>
        </w:tc>
      </w:tr>
      <w:tr w14:paraId="6677A9E5">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230" w:type="dxa"/>
            <w:tcBorders>
              <w:top w:val="nil"/>
              <w:left w:val="nil"/>
              <w:bottom w:val="nil"/>
              <w:right w:val="nil"/>
            </w:tcBorders>
            <w:shd w:val="clear" w:color="auto" w:fill="auto"/>
            <w:vAlign w:val="center"/>
          </w:tcPr>
          <w:p w14:paraId="0F985AD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深度传播</w:t>
            </w:r>
          </w:p>
        </w:tc>
        <w:tc>
          <w:tcPr>
            <w:tcW w:w="1099" w:type="dxa"/>
            <w:tcBorders>
              <w:top w:val="nil"/>
              <w:left w:val="nil"/>
              <w:bottom w:val="nil"/>
              <w:right w:val="nil"/>
            </w:tcBorders>
            <w:shd w:val="clear" w:color="auto" w:fill="auto"/>
            <w:vAlign w:val="center"/>
          </w:tcPr>
          <w:p w14:paraId="06C9B16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w:t>
            </w:r>
          </w:p>
        </w:tc>
        <w:tc>
          <w:tcPr>
            <w:tcW w:w="1099" w:type="dxa"/>
            <w:tcBorders>
              <w:top w:val="nil"/>
              <w:left w:val="nil"/>
              <w:bottom w:val="nil"/>
              <w:right w:val="nil"/>
            </w:tcBorders>
            <w:shd w:val="clear" w:color="auto" w:fill="auto"/>
            <w:vAlign w:val="center"/>
          </w:tcPr>
          <w:p w14:paraId="07304AEA">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5543</w:t>
            </w:r>
          </w:p>
        </w:tc>
        <w:tc>
          <w:tcPr>
            <w:tcW w:w="1501" w:type="dxa"/>
            <w:tcBorders>
              <w:top w:val="nil"/>
              <w:left w:val="nil"/>
              <w:bottom w:val="nil"/>
              <w:right w:val="nil"/>
            </w:tcBorders>
            <w:shd w:val="clear" w:color="auto" w:fill="auto"/>
            <w:vAlign w:val="center"/>
          </w:tcPr>
          <w:p w14:paraId="5C57BDAD">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28.1</w:t>
            </w:r>
          </w:p>
        </w:tc>
        <w:tc>
          <w:tcPr>
            <w:tcW w:w="1768" w:type="dxa"/>
            <w:tcBorders>
              <w:top w:val="nil"/>
              <w:left w:val="nil"/>
              <w:bottom w:val="nil"/>
              <w:right w:val="nil"/>
            </w:tcBorders>
            <w:shd w:val="clear" w:color="auto" w:fill="auto"/>
            <w:vAlign w:val="center"/>
          </w:tcPr>
          <w:p w14:paraId="69070C29">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1.5</w:t>
            </w:r>
          </w:p>
        </w:tc>
        <w:tc>
          <w:tcPr>
            <w:tcW w:w="1768" w:type="dxa"/>
            <w:tcBorders>
              <w:top w:val="nil"/>
              <w:left w:val="nil"/>
              <w:bottom w:val="nil"/>
              <w:right w:val="nil"/>
            </w:tcBorders>
            <w:shd w:val="clear" w:color="auto" w:fill="auto"/>
            <w:vAlign w:val="center"/>
          </w:tcPr>
          <w:p w14:paraId="13012390">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8.0</w:t>
            </w:r>
          </w:p>
        </w:tc>
      </w:tr>
      <w:tr w14:paraId="5F0BDF38">
        <w:tblPrEx>
          <w:tblBorders>
            <w:top w:val="single" w:color="auto" w:sz="6" w:space="0"/>
            <w:left w:val="single" w:color="auto" w:sz="6" w:space="0"/>
            <w:bottom w:val="single" w:color="auto" w:sz="6" w:space="0"/>
            <w:right w:val="single" w:color="auto" w:sz="6" w:space="0"/>
            <w:insideH w:val="outset" w:color="auto" w:sz="6" w:space="0"/>
            <w:insideV w:val="outset" w:color="auto" w:sz="6" w:space="0"/>
          </w:tblBorders>
          <w:shd w:val="clear" w:color="auto" w:fill="auto"/>
          <w:tblCellMar>
            <w:top w:w="15" w:type="dxa"/>
            <w:left w:w="15" w:type="dxa"/>
            <w:bottom w:w="15" w:type="dxa"/>
            <w:right w:w="15" w:type="dxa"/>
          </w:tblCellMar>
        </w:tblPrEx>
        <w:trPr>
          <w:trHeight w:val="0" w:hRule="atLeast"/>
          <w:jc w:val="center"/>
        </w:trPr>
        <w:tc>
          <w:tcPr>
            <w:tcW w:w="1230" w:type="dxa"/>
            <w:tcBorders>
              <w:top w:val="nil"/>
              <w:left w:val="nil"/>
              <w:bottom w:val="single" w:color="auto" w:sz="12" w:space="0"/>
              <w:right w:val="nil"/>
            </w:tcBorders>
            <w:shd w:val="clear" w:color="auto" w:fill="auto"/>
            <w:vAlign w:val="center"/>
          </w:tcPr>
          <w:p w14:paraId="15D3442B">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体验传播</w:t>
            </w:r>
          </w:p>
        </w:tc>
        <w:tc>
          <w:tcPr>
            <w:tcW w:w="1099" w:type="dxa"/>
            <w:tcBorders>
              <w:top w:val="nil"/>
              <w:left w:val="nil"/>
              <w:bottom w:val="single" w:color="auto" w:sz="12" w:space="0"/>
              <w:right w:val="nil"/>
            </w:tcBorders>
            <w:shd w:val="clear" w:color="auto" w:fill="auto"/>
            <w:vAlign w:val="center"/>
          </w:tcPr>
          <w:p w14:paraId="14E49A92">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w:t>
            </w:r>
          </w:p>
        </w:tc>
        <w:tc>
          <w:tcPr>
            <w:tcW w:w="1099" w:type="dxa"/>
            <w:tcBorders>
              <w:top w:val="nil"/>
              <w:left w:val="nil"/>
              <w:bottom w:val="single" w:color="auto" w:sz="12" w:space="0"/>
              <w:right w:val="nil"/>
            </w:tcBorders>
            <w:shd w:val="clear" w:color="auto" w:fill="auto"/>
            <w:vAlign w:val="center"/>
          </w:tcPr>
          <w:p w14:paraId="1AD96304">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806</w:t>
            </w:r>
          </w:p>
        </w:tc>
        <w:tc>
          <w:tcPr>
            <w:tcW w:w="1501" w:type="dxa"/>
            <w:tcBorders>
              <w:top w:val="nil"/>
              <w:left w:val="nil"/>
              <w:bottom w:val="single" w:color="auto" w:sz="12" w:space="0"/>
              <w:right w:val="nil"/>
            </w:tcBorders>
            <w:shd w:val="clear" w:color="auto" w:fill="auto"/>
            <w:vAlign w:val="center"/>
          </w:tcPr>
          <w:p w14:paraId="64EA0095">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24.0</w:t>
            </w:r>
          </w:p>
        </w:tc>
        <w:tc>
          <w:tcPr>
            <w:tcW w:w="1768" w:type="dxa"/>
            <w:tcBorders>
              <w:top w:val="nil"/>
              <w:left w:val="nil"/>
              <w:bottom w:val="single" w:color="auto" w:sz="12" w:space="0"/>
              <w:right w:val="nil"/>
            </w:tcBorders>
            <w:shd w:val="clear" w:color="auto" w:fill="auto"/>
            <w:vAlign w:val="center"/>
          </w:tcPr>
          <w:p w14:paraId="467A39D7">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0.3</w:t>
            </w:r>
          </w:p>
        </w:tc>
        <w:tc>
          <w:tcPr>
            <w:tcW w:w="1768" w:type="dxa"/>
            <w:tcBorders>
              <w:top w:val="nil"/>
              <w:left w:val="nil"/>
              <w:bottom w:val="single" w:color="auto" w:sz="12" w:space="0"/>
              <w:right w:val="nil"/>
            </w:tcBorders>
            <w:shd w:val="clear" w:color="auto" w:fill="auto"/>
            <w:vAlign w:val="center"/>
          </w:tcPr>
          <w:p w14:paraId="7C2C8BD0">
            <w:pPr>
              <w:pStyle w:val="11"/>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1.6</w:t>
            </w:r>
          </w:p>
        </w:tc>
      </w:tr>
    </w:tbl>
    <w:p w14:paraId="0C786C51">
      <w:pPr>
        <w:pStyle w:val="6"/>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表 </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SEQ 表 \* ARABIC </w:instrText>
      </w:r>
      <w:r>
        <w:rPr>
          <w:rFonts w:hint="eastAsia" w:asciiTheme="minorEastAsia" w:hAnsiTheme="minorEastAsia" w:eastAsiaTheme="minorEastAsia" w:cstheme="minorEastAsia"/>
        </w:rPr>
        <w:fldChar w:fldCharType="separate"/>
      </w:r>
      <w:r>
        <w:rPr>
          <w:rFonts w:hint="eastAsia" w:asciiTheme="minorEastAsia" w:hAnsiTheme="minorEastAsia" w:eastAsiaTheme="minorEastAsia" w:cstheme="minorEastAsia"/>
        </w:rPr>
        <w:t>4</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val="en-US" w:eastAsia="zh-CN"/>
        </w:rPr>
        <w:t xml:space="preserve"> </w:t>
      </w:r>
      <w:r>
        <w:rPr>
          <w:rFonts w:hint="eastAsia" w:asciiTheme="minorEastAsia" w:hAnsiTheme="minorEastAsia" w:eastAsiaTheme="minorEastAsia" w:cstheme="minorEastAsia"/>
        </w:rPr>
        <w:t>传播深度统计分析</w:t>
      </w:r>
    </w:p>
    <w:p w14:paraId="710A4FB7">
      <w:pPr>
        <w:pStyle w:val="11"/>
        <w:keepNext w:val="0"/>
        <w:keepLines w:val="0"/>
        <w:widowControl/>
        <w:suppressLineNumbers w:val="0"/>
        <w:jc w:val="left"/>
        <w:rPr>
          <w:rFonts w:hint="eastAsia" w:eastAsiaTheme="minorEastAsia"/>
          <w:lang w:eastAsia="zh-CN"/>
        </w:rPr>
      </w:pPr>
      <w:r>
        <w:rPr>
          <w:rFonts w:hint="eastAsia" w:eastAsiaTheme="minorEastAsia"/>
          <w:lang w:eastAsia="zh-CN"/>
        </w:rPr>
        <w:drawing>
          <wp:inline distT="0" distB="0" distL="114300" distR="114300">
            <wp:extent cx="5266690" cy="2922905"/>
            <wp:effectExtent l="0" t="0" r="0" b="0"/>
            <wp:docPr id="31" name="图片 31" descr="图6_传播深度层次效果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6_传播深度层次效果对比"/>
                    <pic:cNvPicPr>
                      <a:picLocks noChangeAspect="1"/>
                    </pic:cNvPicPr>
                  </pic:nvPicPr>
                  <pic:blipFill>
                    <a:blip r:embed="rId14"/>
                    <a:stretch>
                      <a:fillRect/>
                    </a:stretch>
                  </pic:blipFill>
                  <pic:spPr>
                    <a:xfrm>
                      <a:off x="0" y="0"/>
                      <a:ext cx="5266690" cy="2922905"/>
                    </a:xfrm>
                    <a:prstGeom prst="rect">
                      <a:avLst/>
                    </a:prstGeom>
                  </pic:spPr>
                </pic:pic>
              </a:graphicData>
            </a:graphic>
          </wp:inline>
        </w:drawing>
      </w:r>
    </w:p>
    <w:p w14:paraId="6B2730B8">
      <w:pPr>
        <w:pStyle w:val="6"/>
        <w:keepNext w:val="0"/>
        <w:keepLines w:val="0"/>
        <w:widowControl/>
        <w:suppressLineNumbers w:val="0"/>
        <w:jc w:val="center"/>
        <w:rPr>
          <w:rFonts w:hint="default" w:eastAsia="黑体"/>
          <w:lang w:val="en-US" w:eastAsia="zh-CN"/>
        </w:rPr>
      </w:pPr>
      <w:r>
        <w:t xml:space="preserve">图 </w:t>
      </w:r>
      <w:r>
        <w:fldChar w:fldCharType="begin"/>
      </w:r>
      <w:r>
        <w:instrText xml:space="preserve"> SEQ 图 \* ARABIC </w:instrText>
      </w:r>
      <w:r>
        <w:fldChar w:fldCharType="separate"/>
      </w:r>
      <w:r>
        <w:t>8</w:t>
      </w:r>
      <w:r>
        <w:fldChar w:fldCharType="end"/>
      </w:r>
      <w:r>
        <w:rPr>
          <w:rFonts w:hint="eastAsia"/>
          <w:lang w:val="en-US" w:eastAsia="zh-CN"/>
        </w:rPr>
        <w:t xml:space="preserve"> 传播深度层次效果对比</w:t>
      </w:r>
    </w:p>
    <w:p w14:paraId="354A6919">
      <w:pPr>
        <w:pStyle w:val="3"/>
        <w:keepNext w:val="0"/>
        <w:keepLines w:val="0"/>
        <w:widowControl/>
        <w:numPr>
          <w:ilvl w:val="0"/>
          <w:numId w:val="1"/>
        </w:numPr>
        <w:suppressLineNumbers w:val="0"/>
        <w:pBdr>
          <w:left w:val="none" w:color="auto" w:sz="0" w:space="0"/>
        </w:pBdr>
        <w:ind w:left="0" w:leftChars="0" w:firstLine="0" w:firstLineChars="0"/>
        <w:jc w:val="left"/>
      </w:pPr>
      <w:bookmarkStart w:id="16" w:name="_Toc2238"/>
      <w:r>
        <w:t>讨论：传播效果差异的原因与优化路径</w:t>
      </w:r>
      <w:bookmarkEnd w:id="16"/>
    </w:p>
    <w:p w14:paraId="34148929">
      <w:pPr>
        <w:pStyle w:val="4"/>
        <w:keepNext w:val="0"/>
        <w:keepLines w:val="0"/>
        <w:widowControl/>
        <w:numPr>
          <w:ilvl w:val="0"/>
          <w:numId w:val="0"/>
        </w:numPr>
        <w:suppressLineNumbers w:val="0"/>
        <w:pBdr>
          <w:left w:val="none" w:color="auto" w:sz="0" w:space="0"/>
        </w:pBdr>
        <w:ind w:leftChars="0"/>
        <w:jc w:val="left"/>
      </w:pPr>
      <w:bookmarkStart w:id="17" w:name="_Toc4258"/>
      <w:r>
        <w:t>5.1 传播效果差异的核心原因</w:t>
      </w:r>
      <w:bookmarkEnd w:id="17"/>
    </w:p>
    <w:p w14:paraId="7661B0D6">
      <w:pPr>
        <w:pStyle w:val="11"/>
        <w:keepNext w:val="0"/>
        <w:keepLines w:val="0"/>
        <w:widowControl/>
        <w:suppressLineNumbers w:val="0"/>
        <w:spacing w:before="0" w:beforeAutospacing="1" w:after="0" w:afterAutospacing="1"/>
        <w:ind w:left="0" w:right="0"/>
        <w:jc w:val="left"/>
        <w:rPr>
          <w:rFonts w:hint="eastAsia"/>
        </w:rPr>
      </w:pPr>
      <w:r>
        <w:rPr>
          <w:rFonts w:hint="eastAsia"/>
        </w:rPr>
        <w:t>结合上述发现，6类主题的传播效果差异可从“内容属性”“用户需求”“体验链路”三个角度解释：</w:t>
      </w:r>
    </w:p>
    <w:p w14:paraId="28004AAE">
      <w:pPr>
        <w:pStyle w:val="11"/>
        <w:keepNext w:val="0"/>
        <w:keepLines w:val="0"/>
        <w:widowControl/>
        <w:numPr>
          <w:ilvl w:val="0"/>
          <w:numId w:val="7"/>
        </w:numPr>
        <w:suppressLineNumbers w:val="0"/>
        <w:spacing w:before="0" w:beforeAutospacing="1" w:after="0" w:afterAutospacing="1"/>
        <w:ind w:left="425" w:leftChars="0" w:right="0" w:hanging="425" w:firstLineChars="0"/>
        <w:jc w:val="left"/>
        <w:rPr>
          <w:rFonts w:hint="eastAsia"/>
        </w:rPr>
      </w:pPr>
      <w:r>
        <w:rPr>
          <w:rFonts w:hint="eastAsia"/>
        </w:rPr>
        <w:t>内容属性：“文旅融合体验”的高情感反馈，源于“线上游戏场景+线下文化地标”的“双重熟悉感”——用户既对游戏场景有认知，又对敦煌、凉州等地标有文化认同，这种“双向关联”放大了情感共鸣；而“技术创新展示”的低反馈，则因“技术解读过于专业”，用户难以将“动作捕捉技术”与“文化价值”直接关联，导致情感代入困难。</w:t>
      </w:r>
    </w:p>
    <w:p w14:paraId="5BC3798B">
      <w:pPr>
        <w:pStyle w:val="11"/>
        <w:keepNext w:val="0"/>
        <w:keepLines w:val="0"/>
        <w:widowControl/>
        <w:numPr>
          <w:ilvl w:val="0"/>
          <w:numId w:val="7"/>
        </w:numPr>
        <w:suppressLineNumbers w:val="0"/>
        <w:spacing w:before="0" w:beforeAutospacing="1" w:after="0" w:afterAutospacing="1"/>
        <w:ind w:left="425" w:leftChars="0" w:right="0" w:hanging="425" w:firstLineChars="0"/>
        <w:jc w:val="left"/>
        <w:rPr>
          <w:rFonts w:hint="eastAsia"/>
        </w:rPr>
      </w:pPr>
      <w:r>
        <w:rPr>
          <w:rFonts w:hint="eastAsia"/>
        </w:rPr>
        <w:t>用户需求：“深度叙事解读”与“核心文化传承”的高关注度，反映用户对“文化叙事”的需求远高于“技术”或“社会议题”——游戏用户更希望通过“故事”而非“理论”接触文化，这与“Z世代”“情感驱动型”的信息接收习惯一致。</w:t>
      </w:r>
    </w:p>
    <w:p w14:paraId="74241787">
      <w:pPr>
        <w:pStyle w:val="11"/>
        <w:keepNext w:val="0"/>
        <w:keepLines w:val="0"/>
        <w:widowControl/>
        <w:numPr>
          <w:ilvl w:val="0"/>
          <w:numId w:val="7"/>
        </w:numPr>
        <w:suppressLineNumbers w:val="0"/>
        <w:spacing w:before="0" w:beforeAutospacing="1" w:after="0" w:afterAutospacing="1"/>
        <w:ind w:left="425" w:leftChars="0" w:right="0" w:hanging="425" w:firstLineChars="0"/>
        <w:jc w:val="left"/>
      </w:pPr>
      <w:r>
        <w:rPr>
          <w:rFonts w:hint="eastAsia"/>
        </w:rPr>
        <w:t>体验链路：“核心文化传承”的高行为转化，源于“文化呈现-情感共鸣-行动意愿”的完整链路——例如，用户看到游戏中还原的敦煌壁画（文化呈现），产生“想了解真实壁画”的兴趣（情感共鸣），进而产生“去敦煌旅游”的意愿（行为转化）；而“社会议题探讨”因“文化关联弱”，难以形成完整链路，转化效果自然较差。</w:t>
      </w:r>
    </w:p>
    <w:p w14:paraId="1164563B">
      <w:pPr>
        <w:pStyle w:val="4"/>
        <w:keepNext w:val="0"/>
        <w:keepLines w:val="0"/>
        <w:widowControl/>
        <w:numPr>
          <w:ilvl w:val="0"/>
          <w:numId w:val="0"/>
        </w:numPr>
        <w:suppressLineNumbers w:val="0"/>
        <w:pBdr>
          <w:left w:val="none" w:color="auto" w:sz="0" w:space="0"/>
        </w:pBdr>
        <w:ind w:leftChars="0"/>
        <w:jc w:val="left"/>
      </w:pPr>
      <w:bookmarkStart w:id="18" w:name="_Toc848"/>
      <w:r>
        <w:t>5.2 游戏文化传播的优化路径</w:t>
      </w:r>
      <w:bookmarkEnd w:id="18"/>
    </w:p>
    <w:p w14:paraId="25E81D2C">
      <w:pPr>
        <w:pStyle w:val="11"/>
        <w:keepNext w:val="0"/>
        <w:keepLines w:val="0"/>
        <w:widowControl/>
        <w:suppressLineNumbers w:val="0"/>
        <w:spacing w:before="0" w:beforeAutospacing="1" w:after="0" w:afterAutospacing="1"/>
        <w:ind w:left="0" w:right="0"/>
        <w:jc w:val="left"/>
        <w:rPr>
          <w:rFonts w:hint="eastAsia"/>
        </w:rPr>
      </w:pPr>
      <w:r>
        <w:rPr>
          <w:rFonts w:hint="eastAsia"/>
        </w:rPr>
        <w:t>基于研究发现与原因分析，本研究从“主题选择”“内容设计”“样本平衡”三个方面提出优化路径：</w:t>
      </w:r>
    </w:p>
    <w:p w14:paraId="0D609540">
      <w:pPr>
        <w:pStyle w:val="11"/>
        <w:keepNext w:val="0"/>
        <w:keepLines w:val="0"/>
        <w:widowControl/>
        <w:numPr>
          <w:ilvl w:val="1"/>
          <w:numId w:val="8"/>
        </w:numPr>
        <w:suppressLineNumbers w:val="0"/>
        <w:spacing w:before="0" w:beforeAutospacing="1" w:after="0" w:afterAutospacing="1"/>
        <w:ind w:left="0" w:leftChars="0" w:right="0" w:firstLine="400" w:firstLineChars="0"/>
        <w:jc w:val="left"/>
        <w:rPr>
          <w:rFonts w:hint="eastAsia"/>
        </w:rPr>
      </w:pPr>
      <w:r>
        <w:rPr>
          <w:rFonts w:hint="eastAsia"/>
        </w:rPr>
        <w:t>主题选择：聚焦“高效果+高潜力”主题，双轨并行</w:t>
      </w:r>
    </w:p>
    <w:p w14:paraId="21311F0D">
      <w:pPr>
        <w:pStyle w:val="11"/>
        <w:keepNext w:val="0"/>
        <w:keepLines w:val="0"/>
        <w:widowControl/>
        <w:numPr>
          <w:ilvl w:val="2"/>
          <w:numId w:val="8"/>
        </w:numPr>
        <w:suppressLineNumbers w:val="0"/>
        <w:spacing w:before="0" w:beforeAutospacing="1" w:after="0" w:afterAutospacing="1"/>
        <w:ind w:left="0" w:leftChars="0" w:right="0" w:firstLine="402" w:firstLineChars="0"/>
        <w:jc w:val="left"/>
        <w:rPr>
          <w:rFonts w:hint="eastAsia"/>
        </w:rPr>
      </w:pPr>
      <w:r>
        <w:rPr>
          <w:rFonts w:hint="eastAsia"/>
        </w:rPr>
        <w:t>强化“核心文化传承”与“深度叙事解读”的优势：前者以“文化符号直接呈现”推动行为转化，后者以“剧情叙事”激发深度情感，可作为传播的“核心主题”；</w:t>
      </w:r>
    </w:p>
    <w:p w14:paraId="16E715EC">
      <w:pPr>
        <w:pStyle w:val="11"/>
        <w:keepNext w:val="0"/>
        <w:keepLines w:val="0"/>
        <w:widowControl/>
        <w:numPr>
          <w:ilvl w:val="2"/>
          <w:numId w:val="8"/>
        </w:numPr>
        <w:suppressLineNumbers w:val="0"/>
        <w:spacing w:before="0" w:beforeAutospacing="1" w:after="0" w:afterAutospacing="1"/>
        <w:ind w:left="0" w:leftChars="0" w:right="0" w:firstLine="402" w:firstLineChars="0"/>
        <w:jc w:val="left"/>
        <w:rPr>
          <w:rFonts w:hint="eastAsia"/>
        </w:rPr>
      </w:pPr>
      <w:r>
        <w:rPr>
          <w:rFonts w:hint="eastAsia"/>
        </w:rPr>
        <w:t>挖掘“文旅融合体验”的潜力：尽管当前样本量小，但37.9%的加权正面率证明其“单位效果”最优，可通过“增加文旅联动视频数量”“联动热门旅游博主”扩大样本规模，提升整体传播效果。</w:t>
      </w:r>
    </w:p>
    <w:p w14:paraId="36B0F81C">
      <w:pPr>
        <w:pStyle w:val="11"/>
        <w:keepNext w:val="0"/>
        <w:keepLines w:val="0"/>
        <w:widowControl/>
        <w:numPr>
          <w:ilvl w:val="1"/>
          <w:numId w:val="8"/>
        </w:numPr>
        <w:suppressLineNumbers w:val="0"/>
        <w:spacing w:before="0" w:beforeAutospacing="1" w:after="0" w:afterAutospacing="1"/>
        <w:ind w:left="0" w:leftChars="0" w:right="0" w:firstLine="400" w:firstLineChars="0"/>
        <w:jc w:val="left"/>
        <w:rPr>
          <w:rFonts w:hint="eastAsia"/>
        </w:rPr>
      </w:pPr>
      <w:r>
        <w:rPr>
          <w:rFonts w:hint="eastAsia"/>
        </w:rPr>
        <w:t>内容设计：补全“情感-行为”转化链路，解决两大痛点</w:t>
      </w:r>
    </w:p>
    <w:p w14:paraId="11EB161D">
      <w:pPr>
        <w:pStyle w:val="11"/>
        <w:keepNext w:val="0"/>
        <w:keepLines w:val="0"/>
        <w:widowControl/>
        <w:numPr>
          <w:ilvl w:val="2"/>
          <w:numId w:val="8"/>
        </w:numPr>
        <w:suppressLineNumbers w:val="0"/>
        <w:spacing w:before="0" w:beforeAutospacing="1" w:after="0" w:afterAutospacing="1"/>
        <w:ind w:left="0" w:leftChars="0" w:right="0" w:firstLine="402" w:firstLineChars="0"/>
        <w:jc w:val="left"/>
        <w:rPr>
          <w:rFonts w:hint="eastAsia"/>
        </w:rPr>
      </w:pPr>
      <w:r>
        <w:rPr>
          <w:rFonts w:hint="eastAsia"/>
        </w:rPr>
        <w:t>提升深度情感比例：在“核心文化传承”内容中加入“文化背后的故事”（如敦煌壁画的创作背景），让用户从“看到符号”升级为“理解精神”，激发文化自豪感；</w:t>
      </w:r>
    </w:p>
    <w:p w14:paraId="46F103C2">
      <w:pPr>
        <w:pStyle w:val="11"/>
        <w:keepNext w:val="0"/>
        <w:keepLines w:val="0"/>
        <w:widowControl/>
        <w:numPr>
          <w:ilvl w:val="2"/>
          <w:numId w:val="8"/>
        </w:numPr>
        <w:suppressLineNumbers w:val="0"/>
        <w:spacing w:before="0" w:beforeAutospacing="1" w:after="0" w:afterAutospacing="1"/>
        <w:ind w:left="0" w:leftChars="0" w:right="0" w:firstLine="402" w:firstLineChars="0"/>
        <w:jc w:val="left"/>
        <w:rPr>
          <w:rFonts w:hint="eastAsia"/>
        </w:rPr>
      </w:pPr>
      <w:r>
        <w:rPr>
          <w:rFonts w:hint="eastAsia"/>
        </w:rPr>
        <w:t>激励二次创作：在“深度叙事解读”视频中加入“创作素材包”（如游戏场景截图、原声音乐），降低创作门槛，同时发起“#燕云文化创作大赛”，通过奖励机制提升二次创作意愿。</w:t>
      </w:r>
    </w:p>
    <w:p w14:paraId="562F4E42">
      <w:pPr>
        <w:pStyle w:val="11"/>
        <w:keepNext w:val="0"/>
        <w:keepLines w:val="0"/>
        <w:widowControl/>
        <w:numPr>
          <w:ilvl w:val="1"/>
          <w:numId w:val="8"/>
        </w:numPr>
        <w:suppressLineNumbers w:val="0"/>
        <w:spacing w:before="0" w:beforeAutospacing="1" w:after="0" w:afterAutospacing="1"/>
        <w:ind w:left="0" w:leftChars="0" w:right="0" w:firstLine="400" w:firstLineChars="0"/>
        <w:jc w:val="left"/>
        <w:rPr>
          <w:rFonts w:hint="eastAsia"/>
        </w:rPr>
      </w:pPr>
      <w:r>
        <w:rPr>
          <w:rFonts w:hint="eastAsia"/>
        </w:rPr>
        <w:t>样本平衡：优化“低关注主题”的内容呈现</w:t>
      </w:r>
    </w:p>
    <w:p w14:paraId="1AC38262">
      <w:pPr>
        <w:pStyle w:val="11"/>
        <w:keepNext w:val="0"/>
        <w:keepLines w:val="0"/>
        <w:widowControl/>
        <w:numPr>
          <w:ilvl w:val="2"/>
          <w:numId w:val="8"/>
        </w:numPr>
        <w:suppressLineNumbers w:val="0"/>
        <w:spacing w:before="0" w:beforeAutospacing="1" w:after="0" w:afterAutospacing="1"/>
        <w:ind w:left="0" w:leftChars="0" w:right="0" w:firstLine="402" w:firstLineChars="0"/>
        <w:jc w:val="left"/>
        <w:rPr>
          <w:rFonts w:hint="eastAsia"/>
        </w:rPr>
      </w:pPr>
      <w:r>
        <w:rPr>
          <w:rFonts w:hint="eastAsia"/>
        </w:rPr>
        <w:t>对“技术创新展示”：将“技术解读”转化为“技术+文化”的叙事（如“动作捕捉如何还原唐代乐舞的姿态”），让用户理解技术的“文化价值”而非单纯的“技术参数”；</w:t>
      </w:r>
    </w:p>
    <w:p w14:paraId="630F8F86">
      <w:pPr>
        <w:pStyle w:val="11"/>
        <w:keepNext w:val="0"/>
        <w:keepLines w:val="0"/>
        <w:widowControl/>
        <w:numPr>
          <w:ilvl w:val="2"/>
          <w:numId w:val="8"/>
        </w:numPr>
        <w:suppressLineNumbers w:val="0"/>
        <w:spacing w:before="0" w:beforeAutospacing="1" w:after="0" w:afterAutospacing="1"/>
        <w:ind w:left="0" w:leftChars="0" w:right="0" w:firstLine="402" w:firstLineChars="0"/>
        <w:jc w:val="left"/>
      </w:pPr>
      <w:r>
        <w:rPr>
          <w:rFonts w:hint="eastAsia"/>
        </w:rPr>
        <w:t>对“社会议题探讨”：结合游戏内容设计议题（如“游戏如何助力非遗传承”），强化“文化关联”，避免议题与文化传播脱节。</w:t>
      </w:r>
    </w:p>
    <w:p w14:paraId="5B3281CE">
      <w:pPr>
        <w:pStyle w:val="3"/>
        <w:keepNext w:val="0"/>
        <w:keepLines w:val="0"/>
        <w:widowControl/>
        <w:numPr>
          <w:ilvl w:val="0"/>
          <w:numId w:val="1"/>
        </w:numPr>
        <w:suppressLineNumbers w:val="0"/>
        <w:pBdr>
          <w:left w:val="none" w:color="auto" w:sz="0" w:space="0"/>
        </w:pBdr>
        <w:ind w:left="0" w:leftChars="0" w:firstLine="0" w:firstLineChars="0"/>
        <w:jc w:val="left"/>
      </w:pPr>
      <w:bookmarkStart w:id="19" w:name="_Toc7015"/>
      <w:r>
        <w:t>结论与局限</w:t>
      </w:r>
      <w:bookmarkEnd w:id="19"/>
    </w:p>
    <w:p w14:paraId="7DD60C56">
      <w:pPr>
        <w:pStyle w:val="4"/>
        <w:keepNext w:val="0"/>
        <w:keepLines w:val="0"/>
        <w:widowControl/>
        <w:numPr>
          <w:ilvl w:val="0"/>
          <w:numId w:val="0"/>
        </w:numPr>
        <w:suppressLineNumbers w:val="0"/>
        <w:pBdr>
          <w:left w:val="none" w:color="auto" w:sz="0" w:space="0"/>
        </w:pBdr>
        <w:ind w:leftChars="0"/>
        <w:jc w:val="left"/>
      </w:pPr>
      <w:bookmarkStart w:id="20" w:name="_Toc5422"/>
      <w:r>
        <w:t>6.1 研究结论</w:t>
      </w:r>
      <w:bookmarkEnd w:id="20"/>
    </w:p>
    <w:p w14:paraId="08C0DC3D">
      <w:pPr>
        <w:pStyle w:val="11"/>
        <w:keepNext w:val="0"/>
        <w:keepLines w:val="0"/>
        <w:widowControl/>
        <w:suppressLineNumbers w:val="0"/>
        <w:spacing w:before="0" w:beforeAutospacing="1" w:after="0" w:afterAutospacing="1"/>
        <w:ind w:left="0" w:right="0"/>
        <w:jc w:val="left"/>
        <w:rPr>
          <w:rFonts w:hint="eastAsia"/>
        </w:rPr>
      </w:pPr>
      <w:r>
        <w:rPr>
          <w:rFonts w:hint="eastAsia"/>
        </w:rPr>
        <w:t>本研究以《燕云十六声》B站评论为数据基础，通过6类传播主题的效果对比，得出以下核心结论：</w:t>
      </w:r>
    </w:p>
    <w:p w14:paraId="0AD15CB4">
      <w:pPr>
        <w:pStyle w:val="11"/>
        <w:keepNext w:val="0"/>
        <w:keepLines w:val="0"/>
        <w:widowControl/>
        <w:numPr>
          <w:ilvl w:val="0"/>
          <w:numId w:val="9"/>
        </w:numPr>
        <w:suppressLineNumbers w:val="0"/>
        <w:spacing w:before="0" w:beforeAutospacing="1" w:after="0" w:afterAutospacing="1"/>
        <w:ind w:left="425" w:leftChars="0" w:right="0" w:hanging="425" w:firstLineChars="0"/>
        <w:jc w:val="left"/>
        <w:rPr>
          <w:rFonts w:hint="eastAsia"/>
        </w:rPr>
      </w:pPr>
      <w:r>
        <w:rPr>
          <w:rFonts w:hint="eastAsia"/>
        </w:rPr>
        <w:t>传播主题的“效果差异”显著：“文旅融合体验”情感效果最优（加权正面率37.9%），“深度叙事解读”深度情感最强（1.8%），“核心文化传承”行为转化最好（9.8%），不存在“全维度最优”的主题，需根据传播目标选择侧重；</w:t>
      </w:r>
    </w:p>
    <w:p w14:paraId="17ED1A3F">
      <w:pPr>
        <w:pStyle w:val="11"/>
        <w:keepNext w:val="0"/>
        <w:keepLines w:val="0"/>
        <w:widowControl/>
        <w:numPr>
          <w:ilvl w:val="0"/>
          <w:numId w:val="9"/>
        </w:numPr>
        <w:suppressLineNumbers w:val="0"/>
        <w:spacing w:before="0" w:beforeAutospacing="1" w:after="0" w:afterAutospacing="1"/>
        <w:ind w:left="425" w:leftChars="0" w:right="0" w:hanging="425" w:firstLineChars="0"/>
        <w:jc w:val="left"/>
        <w:rPr>
          <w:rFonts w:hint="eastAsia"/>
        </w:rPr>
      </w:pPr>
      <w:r>
        <w:rPr>
          <w:rFonts w:hint="eastAsia"/>
        </w:rPr>
        <w:t>传播主题的“关注度分布”不均：“深度叙事解读”与“核心文化传承”的评论数占比超60%，“文旅融合体验”仅0.7%，反映用户对“文化叙事类”内容的偏好远高于“线下联动”“技术解读”类；</w:t>
      </w:r>
    </w:p>
    <w:p w14:paraId="02B30247">
      <w:pPr>
        <w:pStyle w:val="11"/>
        <w:keepNext w:val="0"/>
        <w:keepLines w:val="0"/>
        <w:widowControl/>
        <w:numPr>
          <w:ilvl w:val="0"/>
          <w:numId w:val="9"/>
        </w:numPr>
        <w:suppressLineNumbers w:val="0"/>
        <w:spacing w:before="0" w:beforeAutospacing="1" w:after="0" w:afterAutospacing="1"/>
        <w:ind w:left="425" w:leftChars="0" w:right="0" w:hanging="425" w:firstLineChars="0"/>
        <w:jc w:val="left"/>
      </w:pPr>
      <w:r>
        <w:rPr>
          <w:rFonts w:hint="eastAsia"/>
        </w:rPr>
        <w:t>传播效果的“提升空间”集中：所有主题的深度情感比例均低于2%，二次创作意愿低于1%，“情感内化”与“创作激励”是未来优化的核心方向。</w:t>
      </w:r>
    </w:p>
    <w:p w14:paraId="216D1FFD">
      <w:pPr>
        <w:pStyle w:val="4"/>
        <w:keepNext w:val="0"/>
        <w:keepLines w:val="0"/>
        <w:widowControl/>
        <w:numPr>
          <w:ilvl w:val="0"/>
          <w:numId w:val="0"/>
        </w:numPr>
        <w:suppressLineNumbers w:val="0"/>
        <w:pBdr>
          <w:left w:val="none" w:color="auto" w:sz="0" w:space="0"/>
        </w:pBdr>
        <w:ind w:leftChars="0"/>
        <w:jc w:val="left"/>
      </w:pPr>
      <w:bookmarkStart w:id="21" w:name="_Toc27240"/>
      <w:r>
        <w:t>6.2 研究局限与未来方向</w:t>
      </w:r>
      <w:bookmarkEnd w:id="21"/>
    </w:p>
    <w:p w14:paraId="21EF3305">
      <w:pPr>
        <w:pStyle w:val="11"/>
        <w:keepNext w:val="0"/>
        <w:keepLines w:val="0"/>
        <w:widowControl/>
        <w:suppressLineNumbers w:val="0"/>
        <w:spacing w:before="0" w:beforeAutospacing="1" w:after="0" w:afterAutospacing="1"/>
        <w:ind w:left="0" w:right="0"/>
        <w:jc w:val="left"/>
        <w:rPr>
          <w:rFonts w:hint="eastAsia"/>
        </w:rPr>
      </w:pPr>
      <w:r>
        <w:rPr>
          <w:rFonts w:hint="eastAsia"/>
        </w:rPr>
        <w:t>本研究存在两点局限：一是数据仅来源于B站平台，未涵盖抖音、微博等其他传播渠道，结论的普适性有待验证；二是未纳入“用户特征”（如年龄、游戏时长）分析，无法判断不同群体对主题的反馈差异。</w:t>
      </w:r>
    </w:p>
    <w:p w14:paraId="6D28A427">
      <w:pPr>
        <w:pStyle w:val="11"/>
        <w:keepNext w:val="0"/>
        <w:keepLines w:val="0"/>
        <w:widowControl/>
        <w:suppressLineNumbers w:val="0"/>
        <w:spacing w:before="0" w:beforeAutospacing="1" w:after="0" w:afterAutospacing="1"/>
        <w:ind w:left="0" w:right="0"/>
        <w:jc w:val="left"/>
      </w:pPr>
      <w:r>
        <w:rPr>
          <w:rFonts w:hint="eastAsia"/>
        </w:rPr>
        <w:t>未来研究可从两方面展开：一是扩大数据来源，对比多平台的主题效果差异；二是结合用户问卷或访谈，分析“用户特征-主题偏好-传播效果”的关联，为游戏文化传播提供更精准的策略参考。</w:t>
      </w:r>
    </w:p>
    <w:p w14:paraId="00BE869E">
      <w:pPr>
        <w:pStyle w:val="3"/>
        <w:keepNext w:val="0"/>
        <w:keepLines w:val="0"/>
        <w:widowControl/>
        <w:numPr>
          <w:ilvl w:val="0"/>
          <w:numId w:val="0"/>
        </w:numPr>
        <w:suppressLineNumbers w:val="0"/>
        <w:pBdr>
          <w:left w:val="none" w:color="auto" w:sz="0" w:space="0"/>
        </w:pBdr>
        <w:ind w:leftChars="0"/>
        <w:jc w:val="left"/>
        <w:rPr>
          <w:rFonts w:hint="eastAsia" w:asciiTheme="minorEastAsia" w:hAnsiTheme="minorEastAsia" w:eastAsiaTheme="minorEastAsia" w:cstheme="minorEastAsia"/>
        </w:rPr>
      </w:pPr>
      <w:bookmarkStart w:id="22" w:name="_Toc18680"/>
      <w:r>
        <w:rPr>
          <w:rFonts w:hint="eastAsia" w:asciiTheme="minorEastAsia" w:hAnsiTheme="minorEastAsia" w:eastAsiaTheme="minorEastAsia" w:cstheme="minorEastAsia"/>
        </w:rPr>
        <w:t>参考文献</w:t>
      </w:r>
      <w:bookmarkEnd w:id="22"/>
    </w:p>
    <w:p w14:paraId="33F8B020">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[1] 蒋翠清，郭轶博，刘尧. (2019). 基于中文社交媒体文本的领域情感词典构建方法研究 [J]. 数据分析与知识发现，(2), 98-107.</w:t>
      </w:r>
    </w:p>
    <w:p w14:paraId="17BFD787">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[2] 李世钰。融合语义情感与关键词匹配的社交媒体用户社群划分研究 [J]. 未标注发表信息，引用时需补充发表年、期号及页码.</w:t>
      </w:r>
    </w:p>
    <w:p w14:paraId="213BF161">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[3] 罗琦，吴乃迁，苏愉越，等. (2021). 投资者盈余乐观情绪与管理者迎合 —— 基于社交媒体情感分析的证据 [J]. 中国工业经济，(11), 135-154.</w:t>
      </w:r>
    </w:p>
    <w:p w14:paraId="42348426">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[4] 周延风，张婷，陈少娜. (2018). 网红社交媒体传播及消费者情感倾向分析 —— 以网红品牌 “喜茶” 为例 [J]. 商业经济与管理，(4), 70-80.</w:t>
      </w:r>
    </w:p>
    <w:p w14:paraId="21DA4F81">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[5] 姚加权，冯绪，王赞钧，等. (2021). 语调、情绪及市场影响：基于金融情绪词典 [J]. 管理科学学报，24 (5), 26-46.</w:t>
      </w:r>
    </w:p>
    <w:p w14:paraId="19CD724F">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[6] 辛静。国际社交媒体平台中国文化跨文化传播的分析与反思--以YouTube李子柒的视频评论为例</w:t>
      </w:r>
      <w:r>
        <w:rPr>
          <w:rFonts w:hint="eastAsia" w:asciiTheme="minorEastAsia" w:hAnsiTheme="minorEastAsia" w:cstheme="minorEastAsia"/>
          <w:lang w:val="en-US" w:eastAsia="zh-CN"/>
        </w:rPr>
        <w:t>[J]</w:t>
      </w:r>
      <w:r>
        <w:rPr>
          <w:rFonts w:hint="eastAsia" w:asciiTheme="minorEastAsia" w:hAnsiTheme="minorEastAsia" w:eastAsiaTheme="minorEastAsia" w:cstheme="minorEastAsia"/>
        </w:rPr>
        <w:t>.</w:t>
      </w:r>
    </w:p>
    <w:p w14:paraId="4A715E3E">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[7] 赖元薇. (2017). 全球品牌利用社交媒体内容营销提升品牌忠诚度的机制研究 [D]. 北京：对外经济贸易大学.</w:t>
      </w:r>
    </w:p>
    <w:p w14:paraId="225BED61">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[8] 张融. (2019). 传统文化 IP 的传播策略研究 —— 以北京故宫博物院为例 [D]. 上海：华东师范大学，新闻与传播专业.</w:t>
      </w:r>
    </w:p>
    <w:p w14:paraId="33588ADC">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[9] 范孟娟. 社交媒体用户互动机制及关系转化研究--以微信微博为中心[D]. 华中科技大学, 2017.</w:t>
      </w:r>
    </w:p>
    <w:p w14:paraId="2CE03690">
      <w:pPr>
        <w:pStyle w:val="11"/>
        <w:keepNext w:val="0"/>
        <w:keepLines w:val="0"/>
        <w:widowControl/>
        <w:suppressLineNumbers w:val="0"/>
        <w:spacing w:before="0" w:beforeAutospacing="1" w:after="0" w:afterAutospacing="1"/>
        <w:ind w:left="0" w:right="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[10] 任芳慧. 基于用户体验的手机游戏品牌传播策略研究--以《王者荣耀》为例[D]. 2019.</w:t>
      </w:r>
    </w:p>
    <w:p w14:paraId="395F2ED1">
      <w:pPr>
        <w:rPr>
          <w:rFonts w:hint="eastAsia" w:asciiTheme="minorEastAsia" w:hAnsiTheme="minorEastAsia" w:eastAsiaTheme="minorEastAsia" w:cstheme="minorEastAsia"/>
        </w:rPr>
      </w:pPr>
      <w:r>
        <w:rPr>
          <w:rFonts w:hint="eastAsia" w:asciiTheme="minorEastAsia" w:hAnsiTheme="minorEastAsia" w:eastAsiaTheme="minorEastAsia" w:cstheme="minorEastAsia"/>
        </w:rPr>
        <w:br w:type="page"/>
      </w:r>
    </w:p>
    <w:p w14:paraId="0F9E180D">
      <w:pPr>
        <w:pStyle w:val="3"/>
        <w:bidi w:val="0"/>
        <w:rPr>
          <w:rFonts w:hint="eastAsia"/>
          <w:lang w:val="en-US" w:eastAsia="zh-CN"/>
        </w:rPr>
      </w:pPr>
      <w:r>
        <w:rPr>
          <w:rFonts w:hint="eastAsia"/>
          <w:lang w:val="en-US" w:eastAsia="zh-CN"/>
        </w:rPr>
        <w:t>感悟和建议</w:t>
      </w:r>
    </w:p>
    <w:p w14:paraId="21520A7C">
      <w:pPr>
        <w:ind w:firstLine="420" w:firstLineChars="0"/>
        <w:rPr>
          <w:rFonts w:hint="eastAsia"/>
          <w:lang w:val="en-US" w:eastAsia="zh-CN"/>
        </w:rPr>
      </w:pPr>
      <w:r>
        <w:rPr>
          <w:rFonts w:hint="eastAsia"/>
          <w:lang w:val="en-US" w:eastAsia="zh-CN"/>
        </w:rPr>
        <w:t>这门课给我最大的收获是鼓励我阅读了李飞飞自传，让我知道了伟大的科学家也是鲜活生动的人，也会有人生的低谷，但不乏再来的勇气，确实是让人受益匪浅；同时也促使我在自己感兴趣的领域做了这篇分析报告，哪怕还是比较简陋，但相比而言，已经比上个学期数据科学导论的结课作业进步了很多了。另外，这个游戏刚刚上线国际服，并在外网引起了热议，如果有机会，我想继续这部分的研究。</w:t>
      </w:r>
    </w:p>
    <w:p w14:paraId="2876B4CE">
      <w:pPr>
        <w:ind w:firstLine="420" w:firstLineChars="0"/>
        <w:rPr>
          <w:rFonts w:hint="eastAsia"/>
          <w:lang w:val="en-US" w:eastAsia="zh-CN"/>
        </w:rPr>
      </w:pPr>
      <w:r>
        <w:rPr>
          <w:rFonts w:hint="eastAsia"/>
          <w:lang w:val="en-US" w:eastAsia="zh-CN"/>
        </w:rPr>
        <w:t>如果说有一点不足的话，就是感觉课程理论化部分的内容不太能引起我的兴趣，但是这是我的不足，不是课程的不足，老师的授课氛围还是很幽默的。不管怎么说，这一方面我会努力改进的！</w:t>
      </w:r>
    </w:p>
    <w:p w14:paraId="0D0D9E7E">
      <w:pPr>
        <w:ind w:firstLine="420" w:firstLineChars="0"/>
        <w:rPr>
          <w:rFonts w:hint="eastAsia"/>
          <w:lang w:val="en-US" w:eastAsia="zh-CN"/>
        </w:rPr>
      </w:pPr>
    </w:p>
    <w:p w14:paraId="340F5CE8">
      <w:pPr>
        <w:ind w:firstLine="420" w:firstLineChars="0"/>
        <w:jc w:val="right"/>
        <w:rPr>
          <w:rFonts w:hint="eastAsia"/>
          <w:lang w:val="en-US" w:eastAsia="zh-CN"/>
        </w:rPr>
      </w:pPr>
      <w:r>
        <w:rPr>
          <w:rFonts w:hint="eastAsia"/>
          <w:lang w:val="en-US" w:eastAsia="zh-CN"/>
        </w:rPr>
        <w:t>庞祎彤</w:t>
      </w:r>
    </w:p>
    <w:p w14:paraId="6870D1EE">
      <w:pPr>
        <w:ind w:firstLine="420" w:firstLineChars="0"/>
        <w:jc w:val="right"/>
        <w:rPr>
          <w:rFonts w:hint="default"/>
          <w:lang w:val="en-US" w:eastAsia="zh-CN"/>
        </w:rPr>
      </w:pPr>
      <w:r>
        <w:rPr>
          <w:rFonts w:hint="eastAsia"/>
          <w:lang w:val="en-US" w:eastAsia="zh-CN"/>
        </w:rPr>
        <w:t>2025年11月30日</w:t>
      </w:r>
    </w:p>
    <w:p w14:paraId="00795215">
      <w:pPr>
        <w:ind w:firstLine="420" w:firstLineChars="0"/>
        <w:rPr>
          <w:rFonts w:hint="default"/>
          <w:lang w:val="en-US" w:eastAsia="zh-CN"/>
        </w:rPr>
      </w:pPr>
    </w:p>
    <w:p w14:paraId="1DF110A8"/>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Helvetica">
    <w:altName w:val="Arial"/>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潮字社混元简繁">
    <w:panose1 w:val="02020300000000000000"/>
    <w:charset w:val="86"/>
    <w:family w:val="auto"/>
    <w:pitch w:val="default"/>
    <w:sig w:usb0="00000003" w:usb1="080E0000" w:usb2="00000000"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8B189C">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52D14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p w14:paraId="6F52D14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3"/>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90"/>
      <w:gridCol w:w="1891"/>
      <w:gridCol w:w="2841"/>
    </w:tblGrid>
    <w:tr w14:paraId="4DF846EF">
      <w:tc>
        <w:tcPr>
          <w:tcW w:w="3790" w:type="dxa"/>
          <w:tcBorders>
            <w:tl2br w:val="nil"/>
            <w:tr2bl w:val="nil"/>
          </w:tcBorders>
        </w:tcPr>
        <w:p w14:paraId="04822A91">
          <w:pPr>
            <w:pStyle w:val="9"/>
            <w:pBdr>
              <w:top w:val="none" w:color="auto" w:sz="0" w:space="0"/>
              <w:left w:val="none" w:color="auto" w:sz="0" w:space="0"/>
              <w:bottom w:val="none" w:color="auto" w:sz="0" w:space="0"/>
              <w:right w:val="none" w:color="auto" w:sz="0" w:space="0"/>
            </w:pBdr>
            <w:rPr>
              <w:rFonts w:hint="default" w:eastAsiaTheme="minorEastAsia"/>
              <w:vertAlign w:val="baseline"/>
              <w:lang w:val="en-US" w:eastAsia="zh-CN"/>
            </w:rPr>
          </w:pPr>
          <w:r>
            <w:rPr>
              <w:rFonts w:hint="eastAsia"/>
              <w:vertAlign w:val="baseline"/>
              <w:lang w:eastAsia="zh-CN"/>
            </w:rPr>
            <w:t>Media Data Science</w:t>
          </w:r>
          <w:r>
            <w:rPr>
              <w:rFonts w:hint="eastAsia"/>
              <w:vertAlign w:val="baseline"/>
              <w:lang w:val="en-US" w:eastAsia="zh-CN"/>
            </w:rPr>
            <w:t xml:space="preserve"> </w:t>
          </w:r>
          <w:r>
            <w:rPr>
              <w:rFonts w:hint="eastAsia"/>
              <w:vertAlign w:val="baseline"/>
              <w:lang w:eastAsia="zh-CN"/>
            </w:rPr>
            <w:t>End-of-Course Essay</w:t>
          </w:r>
        </w:p>
      </w:tc>
      <w:tc>
        <w:tcPr>
          <w:tcW w:w="1891" w:type="dxa"/>
          <w:tcBorders>
            <w:tl2br w:val="nil"/>
            <w:tr2bl w:val="nil"/>
          </w:tcBorders>
        </w:tcPr>
        <w:p w14:paraId="65A5BD31">
          <w:pPr>
            <w:pStyle w:val="9"/>
            <w:pBdr>
              <w:top w:val="none" w:color="auto" w:sz="0" w:space="0"/>
              <w:left w:val="none" w:color="auto" w:sz="0" w:space="0"/>
              <w:bottom w:val="none" w:color="auto" w:sz="0" w:space="0"/>
              <w:right w:val="none" w:color="auto" w:sz="0" w:space="0"/>
            </w:pBdr>
            <w:rPr>
              <w:vertAlign w:val="baseline"/>
            </w:rPr>
          </w:pPr>
        </w:p>
      </w:tc>
      <w:tc>
        <w:tcPr>
          <w:tcW w:w="2841" w:type="dxa"/>
          <w:tcBorders>
            <w:tl2br w:val="nil"/>
            <w:tr2bl w:val="nil"/>
          </w:tcBorders>
          <w:vAlign w:val="top"/>
        </w:tcPr>
        <w:p w14:paraId="4628F00D">
          <w:pPr>
            <w:pStyle w:val="9"/>
            <w:pBdr>
              <w:top w:val="none" w:color="auto" w:sz="0" w:space="0"/>
              <w:left w:val="none" w:color="auto" w:sz="0" w:space="0"/>
              <w:bottom w:val="none" w:color="auto" w:sz="0" w:space="0"/>
              <w:right w:val="none" w:color="auto" w:sz="0" w:space="0"/>
            </w:pBdr>
            <w:wordWrap w:val="0"/>
            <w:jc w:val="right"/>
            <w:rPr>
              <w:rFonts w:hint="default" w:eastAsiaTheme="minorEastAsia"/>
              <w:vertAlign w:val="baseline"/>
              <w:lang w:val="en-US" w:eastAsia="zh-CN"/>
            </w:rPr>
          </w:pPr>
          <w:r>
            <w:rPr>
              <w:rFonts w:hint="eastAsia"/>
              <w:vertAlign w:val="baseline"/>
              <w:lang w:val="en-US" w:eastAsia="zh-CN"/>
            </w:rPr>
            <w:t>Yitong_Pang 2025.11.30</w:t>
          </w:r>
        </w:p>
      </w:tc>
    </w:tr>
  </w:tbl>
  <w:p w14:paraId="409C823A">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E8776B"/>
    <w:multiLevelType w:val="multilevel"/>
    <w:tmpl w:val="8AE8776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5D21AD0"/>
    <w:multiLevelType w:val="singleLevel"/>
    <w:tmpl w:val="95D21AD0"/>
    <w:lvl w:ilvl="0" w:tentative="0">
      <w:start w:val="1"/>
      <w:numFmt w:val="decimal"/>
      <w:lvlText w:val="%1."/>
      <w:lvlJc w:val="left"/>
      <w:pPr>
        <w:ind w:left="425" w:hanging="425"/>
      </w:pPr>
      <w:rPr>
        <w:rFonts w:hint="default"/>
      </w:rPr>
    </w:lvl>
  </w:abstractNum>
  <w:abstractNum w:abstractNumId="2">
    <w:nsid w:val="E66A451E"/>
    <w:multiLevelType w:val="multilevel"/>
    <w:tmpl w:val="E66A451E"/>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3">
    <w:nsid w:val="ED0C2642"/>
    <w:multiLevelType w:val="multilevel"/>
    <w:tmpl w:val="ED0C264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1A3CABE9"/>
    <w:multiLevelType w:val="singleLevel"/>
    <w:tmpl w:val="1A3CABE9"/>
    <w:lvl w:ilvl="0" w:tentative="0">
      <w:start w:val="1"/>
      <w:numFmt w:val="bullet"/>
      <w:lvlText w:val=""/>
      <w:lvlJc w:val="left"/>
      <w:pPr>
        <w:ind w:left="420" w:hanging="420"/>
      </w:pPr>
      <w:rPr>
        <w:rFonts w:hint="default" w:ascii="Wingdings" w:hAnsi="Wingdings"/>
      </w:rPr>
    </w:lvl>
  </w:abstractNum>
  <w:abstractNum w:abstractNumId="5">
    <w:nsid w:val="4FC0229C"/>
    <w:multiLevelType w:val="singleLevel"/>
    <w:tmpl w:val="4FC0229C"/>
    <w:lvl w:ilvl="0" w:tentative="0">
      <w:start w:val="1"/>
      <w:numFmt w:val="decimal"/>
      <w:lvlText w:val="%1."/>
      <w:lvlJc w:val="left"/>
      <w:pPr>
        <w:ind w:left="425" w:hanging="425"/>
      </w:pPr>
      <w:rPr>
        <w:rFonts w:hint="default"/>
      </w:rPr>
    </w:lvl>
  </w:abstractNum>
  <w:abstractNum w:abstractNumId="6">
    <w:nsid w:val="69C3F909"/>
    <w:multiLevelType w:val="multilevel"/>
    <w:tmpl w:val="69C3F90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6BF0646E"/>
    <w:multiLevelType w:val="multilevel"/>
    <w:tmpl w:val="6BF0646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75DC89AB"/>
    <w:multiLevelType w:val="singleLevel"/>
    <w:tmpl w:val="75DC89AB"/>
    <w:lvl w:ilvl="0" w:tentative="0">
      <w:start w:val="1"/>
      <w:numFmt w:val="chineseCounting"/>
      <w:suff w:val="space"/>
      <w:lvlText w:val="%1、"/>
      <w:lvlJc w:val="left"/>
      <w:rPr>
        <w:rFonts w:hint="eastAsia"/>
      </w:rPr>
    </w:lvl>
  </w:abstractNum>
  <w:num w:numId="1">
    <w:abstractNumId w:val="8"/>
  </w:num>
  <w:num w:numId="2">
    <w:abstractNumId w:val="6"/>
  </w:num>
  <w:num w:numId="3">
    <w:abstractNumId w:val="3"/>
  </w:num>
  <w:num w:numId="4">
    <w:abstractNumId w:val="7"/>
  </w:num>
  <w:num w:numId="5">
    <w:abstractNumId w:val="0"/>
  </w:num>
  <w:num w:numId="6">
    <w:abstractNumId w:val="4"/>
  </w:num>
  <w:num w:numId="7">
    <w:abstractNumId w:val="1"/>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hNGJiMWVmZTg4ZjFhYWZhYWFiMzBkODkwYWRkZmUifQ=="/>
  </w:docVars>
  <w:rsids>
    <w:rsidRoot w:val="6C497842"/>
    <w:rsid w:val="00824069"/>
    <w:rsid w:val="020F7F07"/>
    <w:rsid w:val="075449B1"/>
    <w:rsid w:val="0EC33734"/>
    <w:rsid w:val="153A109D"/>
    <w:rsid w:val="1B564DF0"/>
    <w:rsid w:val="1B766E57"/>
    <w:rsid w:val="23404830"/>
    <w:rsid w:val="25CE6C15"/>
    <w:rsid w:val="3D402D06"/>
    <w:rsid w:val="472F6BA0"/>
    <w:rsid w:val="50CD7397"/>
    <w:rsid w:val="5385359D"/>
    <w:rsid w:val="6126447A"/>
    <w:rsid w:val="64AF1FB3"/>
    <w:rsid w:val="673568FD"/>
    <w:rsid w:val="6C497842"/>
    <w:rsid w:val="74256F86"/>
    <w:rsid w:val="75265E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toc 3"/>
    <w:basedOn w:val="1"/>
    <w:next w:val="1"/>
    <w:qFormat/>
    <w:uiPriority w:val="0"/>
    <w:pPr>
      <w:ind w:left="840" w:leftChars="400" w:firstLine="0" w:firstLineChars="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2"/>
    <w:basedOn w:val="1"/>
    <w:next w:val="1"/>
    <w:qFormat/>
    <w:uiPriority w:val="0"/>
    <w:pPr>
      <w:ind w:left="440" w:leftChars="200" w:firstLine="0" w:firstLineChars="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6400</Words>
  <Characters>6806</Characters>
  <Lines>0</Lines>
  <Paragraphs>0</Paragraphs>
  <TotalTime>17</TotalTime>
  <ScaleCrop>false</ScaleCrop>
  <LinksUpToDate>false</LinksUpToDate>
  <CharactersWithSpaces>7153</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2023-11-27T05:41:00Z</dcterms:created>
  <dc:creator>shen</dc:creator>
  <cp:lastModifiedBy>Josephine Pang</cp:lastModifiedBy>
  <dcterms:modified xsi:type="dcterms:W3CDTF">2026-10-19T15:46:20Z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2052-12.1.0.29158</vt:lpwstr>
  </property>
  <property fmtid="{D5CDD505-2E9C-101B-9397-08002B2CF9AE}" pid="3" name="ICV">
    <vt:lpwstr>22673CD5B7AC410BA2342FA860984EDA_13</vt:lpwstr>
  </property>
  <property fmtid="{D5CDD505-2E9C-101B-9397-08002B2CF9AE}" pid="4" name="KSOTemplateDocerSaveRecord">
    <vt:lpwstr>eyJoZGlkIjoiNTU0ZmIwYTQ3NzlmZGUxZmU3Zjk0M2IyZTNmM2IxNjAiLCJ1c2VySWQiOiI1ODQ5MDE0ODkifQ==</vt:lpwstr>
  </property>
</Properties>
</file>