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C3395F">
      <w:bookmarkStart w:id="23" w:name="_GoBack"/>
      <w:bookmarkEnd w:id="23"/>
    </w:p>
    <w:p w14:paraId="559C37C6">
      <w:r>
        <w:drawing>
          <wp:anchor distT="0" distB="0" distL="114300" distR="114300" simplePos="0" relativeHeight="251669504" behindDoc="1" locked="0" layoutInCell="1" allowOverlap="1">
            <wp:simplePos x="0" y="0"/>
            <wp:positionH relativeFrom="column">
              <wp:posOffset>894080</wp:posOffset>
            </wp:positionH>
            <wp:positionV relativeFrom="paragraph">
              <wp:posOffset>15240</wp:posOffset>
            </wp:positionV>
            <wp:extent cx="3525520" cy="1085850"/>
            <wp:effectExtent l="0" t="0" r="0" b="0"/>
            <wp:wrapSquare wrapText="bothSides"/>
            <wp:docPr id="1" name="图片 2" descr="图片包含 游戏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图片包含 游戏机&#10;&#10;描述已自动生成"/>
                    <pic:cNvPicPr>
                      <a:picLocks noChangeAspect="1"/>
                    </pic:cNvPicPr>
                  </pic:nvPicPr>
                  <pic:blipFill>
                    <a:blip r:embed="rId6"/>
                    <a:stretch>
                      <a:fillRect/>
                    </a:stretch>
                  </pic:blipFill>
                  <pic:spPr>
                    <a:xfrm>
                      <a:off x="0" y="0"/>
                      <a:ext cx="3525520" cy="1085850"/>
                    </a:xfrm>
                    <a:prstGeom prst="rect">
                      <a:avLst/>
                    </a:prstGeom>
                    <a:noFill/>
                    <a:ln>
                      <a:noFill/>
                    </a:ln>
                  </pic:spPr>
                </pic:pic>
              </a:graphicData>
            </a:graphic>
          </wp:anchor>
        </w:drawing>
      </w:r>
    </w:p>
    <w:p w14:paraId="2D98E255">
      <w:pPr>
        <w:ind w:firstLine="1980" w:firstLineChars="550"/>
        <w:rPr>
          <w:rFonts w:hint="eastAsia" w:ascii="黑体" w:hAnsi="黑体" w:eastAsia="黑体"/>
          <w:sz w:val="36"/>
          <w:szCs w:val="36"/>
        </w:rPr>
      </w:pPr>
    </w:p>
    <w:p w14:paraId="6C7A7F87">
      <w:pPr>
        <w:ind w:firstLine="1980" w:firstLineChars="550"/>
        <w:rPr>
          <w:rFonts w:hint="eastAsia" w:ascii="黑体" w:hAnsi="黑体" w:eastAsia="黑体"/>
          <w:sz w:val="36"/>
          <w:szCs w:val="36"/>
        </w:rPr>
      </w:pPr>
    </w:p>
    <w:p w14:paraId="58FDE18F">
      <w:pPr>
        <w:ind w:firstLine="1980" w:firstLineChars="550"/>
        <w:rPr>
          <w:rFonts w:hint="eastAsia" w:ascii="黑体" w:hAnsi="黑体" w:eastAsia="黑体"/>
          <w:sz w:val="36"/>
          <w:szCs w:val="36"/>
        </w:rPr>
      </w:pPr>
    </w:p>
    <w:p w14:paraId="0BF2036F">
      <w:pPr>
        <w:ind w:firstLine="1980" w:firstLineChars="550"/>
        <w:rPr>
          <w:rFonts w:hint="eastAsia" w:ascii="黑体" w:hAnsi="黑体" w:eastAsia="黑体"/>
          <w:sz w:val="36"/>
          <w:szCs w:val="36"/>
        </w:rPr>
      </w:pPr>
    </w:p>
    <w:p w14:paraId="5AE7C1D4">
      <w:pPr>
        <w:ind w:left="2400" w:hanging="2400" w:hangingChars="1000"/>
        <w:jc w:val="both"/>
      </w:pPr>
      <w:r>
        <w:rPr>
          <w:sz w:val="24"/>
        </w:rPr>
        <mc:AlternateContent>
          <mc:Choice Requires="wps">
            <w:drawing>
              <wp:anchor distT="0" distB="0" distL="114300" distR="114300" simplePos="0" relativeHeight="251668480" behindDoc="0" locked="0" layoutInCell="1" allowOverlap="1">
                <wp:simplePos x="0" y="0"/>
                <wp:positionH relativeFrom="column">
                  <wp:posOffset>784225</wp:posOffset>
                </wp:positionH>
                <wp:positionV relativeFrom="paragraph">
                  <wp:posOffset>364490</wp:posOffset>
                </wp:positionV>
                <wp:extent cx="4617720" cy="17780"/>
                <wp:effectExtent l="0" t="4445" r="1905" b="6350"/>
                <wp:wrapNone/>
                <wp:docPr id="11" name="直接连接符 11"/>
                <wp:cNvGraphicFramePr/>
                <a:graphic xmlns:a="http://schemas.openxmlformats.org/drawingml/2006/main">
                  <a:graphicData uri="http://schemas.microsoft.com/office/word/2010/wordprocessingShape">
                    <wps:wsp>
                      <wps:cNvCnPr/>
                      <wps:spPr>
                        <a:xfrm flipV="1">
                          <a:off x="0" y="0"/>
                          <a:ext cx="4617720" cy="17780"/>
                        </a:xfrm>
                        <a:prstGeom prst="line">
                          <a:avLst/>
                        </a:prstGeom>
                        <a:noFill/>
                        <a:ln w="6350" cap="flat" cmpd="sng" algn="ctr">
                          <a:solidFill>
                            <a:srgbClr val="000000"/>
                          </a:solidFill>
                          <a:prstDash val="solid"/>
                          <a:miter lim="800000"/>
                        </a:ln>
                        <a:effectLst/>
                      </wps:spPr>
                      <wps:bodyPr/>
                    </wps:wsp>
                  </a:graphicData>
                </a:graphic>
              </wp:anchor>
            </w:drawing>
          </mc:Choice>
          <mc:Fallback>
            <w:pict>
              <v:line id="_x0000_s1026" o:spid="_x0000_s1026" o:spt="20" style="position:absolute;left:0pt;flip:y;margin-left:61.75pt;margin-top:28.7pt;height:1.4pt;width:363.6pt;z-index:251668480;mso-width-relative:page;mso-height-relative:page;" filled="f" stroked="t" coordsize="21600,21600" o:gfxdata="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WMhkhdcAAAAJAQAADwAAAAAAAAABACAAAAAiAAAAZHJzL2Rvd25yZXYueG1sUEsBAhQA&#10;FAAAAAgAh07iQO0d9Y/zAQAAzwMAAA4AAAAAAAAAAQAgAAAAJgEAAGRycy9lMm9Eb2MueG1sUEsF&#10;BgAAAAAGAAYAWQEAAIsFAAAAAA==&#10;">
                <v:fill on="f" focussize="0,0"/>
                <v:stroke weight="0.5pt" color="#000000" miterlimit="8" joinstyle="miter"/>
                <v:imagedata o:title=""/>
                <o:lock v:ext="edit" aspectratio="f"/>
              </v:line>
            </w:pict>
          </mc:Fallback>
        </mc:AlternateContent>
      </w:r>
      <w:r>
        <w:rPr>
          <w:rFonts w:hint="eastAsia" w:ascii="黑体" w:hAnsi="黑体" w:eastAsia="黑体"/>
          <w:sz w:val="36"/>
          <w:szCs w:val="36"/>
        </w:rPr>
        <w:t>题目：“游戏为媒，文化为魂”：基于B站评论的《燕云十六声》文化传播效果案例比较研究</w:t>
      </w:r>
    </w:p>
    <w:p w14:paraId="74BBEAD9">
      <w:pPr>
        <w:spacing w:line="480" w:lineRule="auto"/>
        <w:ind w:firstLine="2520" w:firstLineChars="1050"/>
        <w:rPr>
          <w:rFonts w:hint="eastAsia" w:ascii="仿宋" w:hAnsi="仿宋" w:eastAsia="仿宋"/>
          <w:sz w:val="24"/>
        </w:rPr>
      </w:pPr>
    </w:p>
    <w:p w14:paraId="39F44C75">
      <w:pPr>
        <w:spacing w:line="480" w:lineRule="auto"/>
        <w:ind w:firstLine="2520" w:firstLineChars="1050"/>
        <w:rPr>
          <w:rFonts w:hint="eastAsia" w:ascii="仿宋" w:hAnsi="仿宋" w:eastAsia="仿宋"/>
          <w:sz w:val="24"/>
          <w:lang w:val="en-US" w:eastAsia="zh-CN"/>
        </w:rPr>
      </w:pPr>
      <w:r>
        <w:rPr>
          <w:rFonts w:ascii="仿宋" w:hAnsi="仿宋" w:eastAsia="仿宋"/>
          <w:sz w:val="24"/>
        </w:rPr>
        <mc:AlternateContent>
          <mc:Choice Requires="wps">
            <w:drawing>
              <wp:anchor distT="0" distB="0" distL="114300" distR="114300" simplePos="0" relativeHeight="251666432" behindDoc="0" locked="0" layoutInCell="1" allowOverlap="1">
                <wp:simplePos x="0" y="0"/>
                <wp:positionH relativeFrom="column">
                  <wp:posOffset>2240280</wp:posOffset>
                </wp:positionH>
                <wp:positionV relativeFrom="paragraph">
                  <wp:posOffset>290195</wp:posOffset>
                </wp:positionV>
                <wp:extent cx="1441450" cy="0"/>
                <wp:effectExtent l="0" t="4445" r="6350" b="5080"/>
                <wp:wrapNone/>
                <wp:docPr id="20" name="直接连接符 20"/>
                <wp:cNvGraphicFramePr/>
                <a:graphic xmlns:a="http://schemas.openxmlformats.org/drawingml/2006/main">
                  <a:graphicData uri="http://schemas.microsoft.com/office/word/2010/wordprocessingShape">
                    <wps:wsp>
                      <wps:cNvCnPr/>
                      <wps:spPr>
                        <a:xfrm>
                          <a:off x="0" y="0"/>
                          <a:ext cx="1441342" cy="0"/>
                        </a:xfrm>
                        <a:prstGeom prst="line">
                          <a:avLst/>
                        </a:prstGeom>
                        <a:noFill/>
                        <a:ln w="6350" cap="flat" cmpd="sng" algn="ctr">
                          <a:solidFill>
                            <a:srgbClr val="000000"/>
                          </a:solidFill>
                          <a:prstDash val="solid"/>
                          <a:miter lim="800000"/>
                        </a:ln>
                        <a:effectLst/>
                      </wps:spPr>
                      <wps:bodyPr/>
                    </wps:wsp>
                  </a:graphicData>
                </a:graphic>
              </wp:anchor>
            </w:drawing>
          </mc:Choice>
          <mc:Fallback>
            <w:pict>
              <v:line id="_x0000_s1026" o:spid="_x0000_s1026" o:spt="20" style="position:absolute;left:0pt;margin-left:176.4pt;margin-top:22.85pt;height:0pt;width:113.5pt;z-index:251666432;mso-width-relative:page;mso-height-relative:page;" filled="f" stroked="t" coordsize="21600,21600" o:gfxdata="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EjzpAPW&#10;AAAACQEAAA8AAAAAAAAAAQAgAAAAIgAAAGRycy9kb3ducmV2LnhtbFBLAQIUABQAAAAIAIdO4kAR&#10;jXvq6QEAAMEDAAAOAAAAAAAAAAEAIAAAACUBAABkcnMvZTJvRG9jLnhtbFBLBQYAAAAABgAGAFkB&#10;AACABQAAAAA=&#10;">
                <v:fill on="f" focussize="0,0"/>
                <v:stroke weight="0.5pt" color="#000000" miterlimit="8" joinstyle="miter"/>
                <v:imagedata o:title=""/>
                <o:lock v:ext="edit" aspectratio="f"/>
              </v:line>
            </w:pict>
          </mc:Fallback>
        </mc:AlternateContent>
      </w:r>
      <w:r>
        <w:rPr>
          <w:rFonts w:hint="eastAsia" w:ascii="仿宋" w:hAnsi="仿宋" w:eastAsia="仿宋"/>
          <w:sz w:val="24"/>
        </w:rPr>
        <w:t>学年学期：</w:t>
      </w:r>
      <w:r>
        <w:rPr>
          <w:rFonts w:hint="eastAsia" w:ascii="仿宋" w:hAnsi="仿宋" w:eastAsia="仿宋"/>
          <w:sz w:val="24"/>
          <w:lang w:val="en-US" w:eastAsia="zh-CN"/>
        </w:rPr>
        <w:t>2025-2026第1学期</w:t>
      </w:r>
      <w:r>
        <w:rPr>
          <w:rFonts w:hint="eastAsia" w:ascii="仿宋" w:hAnsi="仿宋" w:eastAsia="仿宋"/>
          <w:sz w:val="24"/>
        </w:rPr>
        <w:t xml:space="preserve">    </w:t>
      </w:r>
    </w:p>
    <w:p w14:paraId="58D23D56">
      <w:pPr>
        <w:spacing w:line="480" w:lineRule="auto"/>
        <w:rPr>
          <w:rFonts w:hint="eastAsia" w:ascii="仿宋" w:hAnsi="仿宋" w:eastAsia="仿宋"/>
          <w:sz w:val="24"/>
          <w:lang w:val="en-US" w:eastAsia="zh-CN"/>
        </w:rPr>
      </w:pPr>
      <w:r>
        <w:rPr>
          <w:rFonts w:ascii="仿宋" w:hAnsi="仿宋" w:eastAsia="仿宋"/>
          <w:sz w:val="24"/>
        </w:rPr>
        <mc:AlternateContent>
          <mc:Choice Requires="wps">
            <w:drawing>
              <wp:anchor distT="0" distB="0" distL="114300" distR="114300" simplePos="0" relativeHeight="251665408" behindDoc="0" locked="0" layoutInCell="1" allowOverlap="1">
                <wp:simplePos x="0" y="0"/>
                <wp:positionH relativeFrom="column">
                  <wp:posOffset>2240280</wp:posOffset>
                </wp:positionH>
                <wp:positionV relativeFrom="paragraph">
                  <wp:posOffset>287020</wp:posOffset>
                </wp:positionV>
                <wp:extent cx="1440815" cy="0"/>
                <wp:effectExtent l="0" t="4445" r="6985" b="5080"/>
                <wp:wrapNone/>
                <wp:docPr id="19" name="直接连接符 19"/>
                <wp:cNvGraphicFramePr/>
                <a:graphic xmlns:a="http://schemas.openxmlformats.org/drawingml/2006/main">
                  <a:graphicData uri="http://schemas.microsoft.com/office/word/2010/wordprocessingShape">
                    <wps:wsp>
                      <wps:cNvCnPr/>
                      <wps:spPr>
                        <a:xfrm>
                          <a:off x="0" y="0"/>
                          <a:ext cx="1440815" cy="0"/>
                        </a:xfrm>
                        <a:prstGeom prst="line">
                          <a:avLst/>
                        </a:prstGeom>
                        <a:noFill/>
                        <a:ln w="6350" cap="flat" cmpd="sng" algn="ctr">
                          <a:solidFill>
                            <a:srgbClr val="000000"/>
                          </a:solidFill>
                          <a:prstDash val="solid"/>
                          <a:miter lim="800000"/>
                        </a:ln>
                        <a:effectLst/>
                      </wps:spPr>
                      <wps:bodyPr/>
                    </wps:wsp>
                  </a:graphicData>
                </a:graphic>
              </wp:anchor>
            </w:drawing>
          </mc:Choice>
          <mc:Fallback>
            <w:pict>
              <v:line id="_x0000_s1026" o:spid="_x0000_s1026" o:spt="20" style="position:absolute;left:0pt;margin-left:176.4pt;margin-top:22.6pt;height:0pt;width:113.45pt;z-index:251665408;mso-width-relative:page;mso-height-relative:page;" filled="f" stroked="t" coordsize="21600,21600" o:gfxdata="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GJZ&#10;gNcAAAAJAQAADwAAAAAAAAABACAAAAAiAAAAZHJzL2Rvd25yZXYueG1sUEsBAhQAFAAAAAgAh07i&#10;QCiaLVHqAQAAwQMAAA4AAAAAAAAAAQAgAAAAJgEAAGRycy9lMm9Eb2MueG1sUEsFBgAAAAAGAAYA&#10;WQEAAIIFAAAAAA==&#10;">
                <v:fill on="f" focussize="0,0"/>
                <v:stroke weight="0.5pt" color="#000000" miterlimit="8" joinstyle="miter"/>
                <v:imagedata o:title=""/>
                <o:lock v:ext="edit" aspectratio="f"/>
              </v:line>
            </w:pict>
          </mc:Fallback>
        </mc:AlternateContent>
      </w:r>
      <w:r>
        <w:rPr>
          <w:rFonts w:hint="eastAsia" w:ascii="仿宋" w:hAnsi="仿宋" w:eastAsia="仿宋"/>
          <w:sz w:val="24"/>
        </w:rPr>
        <w:t xml:space="preserve">                     课程名称：</w:t>
      </w:r>
      <w:r>
        <w:rPr>
          <w:rFonts w:hint="eastAsia" w:ascii="仿宋" w:hAnsi="仿宋" w:eastAsia="仿宋"/>
          <w:sz w:val="24"/>
          <w:lang w:val="en-US" w:eastAsia="zh-CN"/>
        </w:rPr>
        <w:t xml:space="preserve">  传媒数据学</w:t>
      </w:r>
      <w:r>
        <w:rPr>
          <w:rFonts w:hint="eastAsia" w:ascii="仿宋" w:hAnsi="仿宋" w:eastAsia="仿宋"/>
          <w:sz w:val="24"/>
        </w:rPr>
        <w:t xml:space="preserve"> </w:t>
      </w:r>
    </w:p>
    <w:p w14:paraId="305E5159">
      <w:pPr>
        <w:spacing w:line="480" w:lineRule="auto"/>
        <w:rPr>
          <w:rFonts w:ascii="仿宋" w:hAnsi="仿宋" w:eastAsia="仿宋"/>
          <w:sz w:val="24"/>
        </w:rPr>
      </w:pPr>
      <w:r>
        <w:rPr>
          <w:rFonts w:ascii="仿宋" w:hAnsi="仿宋" w:eastAsia="仿宋"/>
          <w:sz w:val="24"/>
        </w:rPr>
        <mc:AlternateContent>
          <mc:Choice Requires="wps">
            <w:drawing>
              <wp:anchor distT="0" distB="0" distL="114300" distR="114300" simplePos="0" relativeHeight="251664384" behindDoc="0" locked="0" layoutInCell="1" allowOverlap="1">
                <wp:simplePos x="0" y="0"/>
                <wp:positionH relativeFrom="column">
                  <wp:posOffset>2240280</wp:posOffset>
                </wp:positionH>
                <wp:positionV relativeFrom="paragraph">
                  <wp:posOffset>293370</wp:posOffset>
                </wp:positionV>
                <wp:extent cx="1440815" cy="0"/>
                <wp:effectExtent l="0" t="4445" r="6985" b="5080"/>
                <wp:wrapNone/>
                <wp:docPr id="18" name="直接连接符 18"/>
                <wp:cNvGraphicFramePr/>
                <a:graphic xmlns:a="http://schemas.openxmlformats.org/drawingml/2006/main">
                  <a:graphicData uri="http://schemas.microsoft.com/office/word/2010/wordprocessingShape">
                    <wps:wsp>
                      <wps:cNvCnPr/>
                      <wps:spPr>
                        <a:xfrm>
                          <a:off x="0" y="0"/>
                          <a:ext cx="1440815" cy="0"/>
                        </a:xfrm>
                        <a:prstGeom prst="line">
                          <a:avLst/>
                        </a:prstGeom>
                        <a:noFill/>
                        <a:ln w="6350" cap="flat" cmpd="sng" algn="ctr">
                          <a:solidFill>
                            <a:srgbClr val="000000"/>
                          </a:solidFill>
                          <a:prstDash val="solid"/>
                          <a:miter lim="800000"/>
                        </a:ln>
                        <a:effectLst/>
                      </wps:spPr>
                      <wps:bodyPr/>
                    </wps:wsp>
                  </a:graphicData>
                </a:graphic>
              </wp:anchor>
            </w:drawing>
          </mc:Choice>
          <mc:Fallback>
            <w:pict>
              <v:line id="_x0000_s1026" o:spid="_x0000_s1026" o:spt="20" style="position:absolute;left:0pt;margin-left:176.4pt;margin-top:23.1pt;height:0pt;width:113.45pt;z-index:251664384;mso-width-relative:page;mso-height-relative:page;" filled="f" stroked="t" coordsize="21600,21600" o:gfxdata="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WEJF1&#10;1wAAAAkBAAAPAAAAAAAAAAEAIAAAACIAAABkcnMvZG93bnJldi54bWxQSwECFAAUAAAACACHTuJA&#10;0aEfW+kBAADBAwAADgAAAAAAAAABACAAAAAmAQAAZHJzL2Uyb0RvYy54bWxQSwUGAAAAAAYABgBZ&#10;AQAAgQUAAAAA&#10;">
                <v:fill on="f" focussize="0,0"/>
                <v:stroke weight="0.5pt" color="#000000" miterlimit="8" joinstyle="miter"/>
                <v:imagedata o:title=""/>
                <o:lock v:ext="edit" aspectratio="f"/>
              </v:line>
            </w:pict>
          </mc:Fallback>
        </mc:AlternateContent>
      </w:r>
      <w:r>
        <w:rPr>
          <w:rFonts w:hint="eastAsia" w:ascii="仿宋" w:hAnsi="仿宋" w:eastAsia="仿宋"/>
          <w:sz w:val="24"/>
        </w:rPr>
        <w:t xml:space="preserve"> </w:t>
      </w:r>
      <w:r>
        <w:rPr>
          <w:rFonts w:ascii="仿宋" w:hAnsi="仿宋" w:eastAsia="仿宋"/>
          <w:sz w:val="24"/>
        </w:rPr>
        <w:t xml:space="preserve">                    </w:t>
      </w:r>
      <w:r>
        <w:rPr>
          <w:rFonts w:hint="eastAsia" w:ascii="仿宋" w:hAnsi="仿宋" w:eastAsia="仿宋"/>
          <w:sz w:val="24"/>
        </w:rPr>
        <w:t>课程编号：</w:t>
      </w:r>
      <w:r>
        <w:rPr>
          <w:rFonts w:hint="eastAsia" w:ascii="仿宋" w:hAnsi="仿宋" w:eastAsia="仿宋"/>
          <w:sz w:val="24"/>
          <w:lang w:val="en-US" w:eastAsia="zh-CN"/>
        </w:rPr>
        <w:t xml:space="preserve">  2131030137</w:t>
      </w:r>
      <w:r>
        <w:rPr>
          <w:rFonts w:hint="eastAsia" w:ascii="仿宋" w:hAnsi="仿宋" w:eastAsia="仿宋"/>
          <w:sz w:val="24"/>
        </w:rPr>
        <w:t xml:space="preserve">   </w:t>
      </w:r>
    </w:p>
    <w:p w14:paraId="56FE020B">
      <w:pPr>
        <w:spacing w:line="480" w:lineRule="auto"/>
        <w:rPr>
          <w:rFonts w:ascii="仿宋" w:hAnsi="仿宋" w:eastAsia="仿宋"/>
          <w:sz w:val="24"/>
        </w:rPr>
      </w:pPr>
      <w:r>
        <w:rPr>
          <w:rFonts w:ascii="仿宋" w:hAnsi="仿宋" w:eastAsia="仿宋"/>
          <w:sz w:val="24"/>
        </w:rPr>
        <mc:AlternateContent>
          <mc:Choice Requires="wps">
            <w:drawing>
              <wp:anchor distT="0" distB="0" distL="114300" distR="114300" simplePos="0" relativeHeight="251663360" behindDoc="0" locked="0" layoutInCell="1" allowOverlap="1">
                <wp:simplePos x="0" y="0"/>
                <wp:positionH relativeFrom="column">
                  <wp:posOffset>2240280</wp:posOffset>
                </wp:positionH>
                <wp:positionV relativeFrom="paragraph">
                  <wp:posOffset>284480</wp:posOffset>
                </wp:positionV>
                <wp:extent cx="1440815" cy="0"/>
                <wp:effectExtent l="0" t="4445" r="6985" b="5080"/>
                <wp:wrapNone/>
                <wp:docPr id="17" name="直接连接符 17"/>
                <wp:cNvGraphicFramePr/>
                <a:graphic xmlns:a="http://schemas.openxmlformats.org/drawingml/2006/main">
                  <a:graphicData uri="http://schemas.microsoft.com/office/word/2010/wordprocessingShape">
                    <wps:wsp>
                      <wps:cNvCnPr/>
                      <wps:spPr>
                        <a:xfrm>
                          <a:off x="0" y="0"/>
                          <a:ext cx="1440815" cy="0"/>
                        </a:xfrm>
                        <a:prstGeom prst="line">
                          <a:avLst/>
                        </a:prstGeom>
                        <a:noFill/>
                        <a:ln w="6350" cap="flat" cmpd="sng" algn="ctr">
                          <a:solidFill>
                            <a:srgbClr val="000000"/>
                          </a:solidFill>
                          <a:prstDash val="solid"/>
                          <a:miter lim="800000"/>
                        </a:ln>
                        <a:effectLst/>
                      </wps:spPr>
                      <wps:bodyPr/>
                    </wps:wsp>
                  </a:graphicData>
                </a:graphic>
              </wp:anchor>
            </w:drawing>
          </mc:Choice>
          <mc:Fallback>
            <w:pict>
              <v:line id="_x0000_s1026" o:spid="_x0000_s1026" o:spt="20" style="position:absolute;left:0pt;margin-left:176.4pt;margin-top:22.4pt;height:0pt;width:113.45pt;z-index:251663360;mso-width-relative:page;mso-height-relative:page;" filled="f" stroked="t" coordsize="21600,21600" o:gfxdata="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US+uZ&#10;1gAAAAkBAAAPAAAAAAAAAAEAIAAAACIAAABkcnMvZG93bnJldi54bWxQSwECFAAUAAAACACHTuJA&#10;9t0QPOoBAADBAwAADgAAAAAAAAABACAAAAAlAQAAZHJzL2Uyb0RvYy54bWxQSwUGAAAAAAYABgBZ&#10;AQAAgQUAAAAA&#10;">
                <v:fill on="f" focussize="0,0"/>
                <v:stroke weight="0.5pt" color="#000000" miterlimit="8" joinstyle="miter"/>
                <v:imagedata o:title=""/>
                <o:lock v:ext="edit" aspectratio="f"/>
              </v:line>
            </w:pict>
          </mc:Fallback>
        </mc:AlternateContent>
      </w:r>
      <w:r>
        <w:rPr>
          <w:rFonts w:hint="eastAsia" w:ascii="仿宋" w:hAnsi="仿宋" w:eastAsia="仿宋"/>
          <w:sz w:val="24"/>
        </w:rPr>
        <w:t xml:space="preserve"> </w:t>
      </w:r>
      <w:r>
        <w:rPr>
          <w:rFonts w:ascii="仿宋" w:hAnsi="仿宋" w:eastAsia="仿宋"/>
          <w:sz w:val="24"/>
        </w:rPr>
        <w:t xml:space="preserve">                    </w:t>
      </w:r>
      <w:r>
        <w:rPr>
          <w:rFonts w:hint="eastAsia" w:ascii="仿宋" w:hAnsi="仿宋" w:eastAsia="仿宋"/>
          <w:sz w:val="24"/>
        </w:rPr>
        <w:t xml:space="preserve">课程序号：    </w:t>
      </w:r>
      <w:r>
        <w:rPr>
          <w:rFonts w:hint="eastAsia" w:ascii="仿宋" w:hAnsi="仿宋" w:eastAsia="仿宋"/>
          <w:sz w:val="24"/>
          <w:lang w:val="en-US" w:eastAsia="zh-CN"/>
        </w:rPr>
        <w:t>01</w:t>
      </w:r>
      <w:r>
        <w:rPr>
          <w:rFonts w:hint="eastAsia" w:ascii="仿宋" w:hAnsi="仿宋" w:eastAsia="仿宋"/>
          <w:sz w:val="24"/>
        </w:rPr>
        <w:t xml:space="preserve"> </w:t>
      </w:r>
    </w:p>
    <w:p w14:paraId="73A178EF">
      <w:pPr>
        <w:spacing w:line="480" w:lineRule="auto"/>
        <w:rPr>
          <w:rFonts w:hint="default" w:ascii="仿宋" w:hAnsi="仿宋" w:eastAsia="仿宋"/>
          <w:sz w:val="24"/>
          <w:lang w:val="en-US" w:eastAsia="zh-CN"/>
        </w:rPr>
      </w:pPr>
      <w:r>
        <w:rPr>
          <w:rFonts w:ascii="仿宋" w:hAnsi="仿宋" w:eastAsia="仿宋"/>
          <w:sz w:val="24"/>
        </w:rPr>
        <mc:AlternateContent>
          <mc:Choice Requires="wps">
            <w:drawing>
              <wp:anchor distT="0" distB="0" distL="114300" distR="114300" simplePos="0" relativeHeight="251662336" behindDoc="0" locked="0" layoutInCell="1" allowOverlap="1">
                <wp:simplePos x="0" y="0"/>
                <wp:positionH relativeFrom="column">
                  <wp:posOffset>2240280</wp:posOffset>
                </wp:positionH>
                <wp:positionV relativeFrom="paragraph">
                  <wp:posOffset>291465</wp:posOffset>
                </wp:positionV>
                <wp:extent cx="1440815" cy="0"/>
                <wp:effectExtent l="0" t="4445" r="6985" b="5080"/>
                <wp:wrapNone/>
                <wp:docPr id="16" name="直接连接符 16"/>
                <wp:cNvGraphicFramePr/>
                <a:graphic xmlns:a="http://schemas.openxmlformats.org/drawingml/2006/main">
                  <a:graphicData uri="http://schemas.microsoft.com/office/word/2010/wordprocessingShape">
                    <wps:wsp>
                      <wps:cNvCnPr/>
                      <wps:spPr>
                        <a:xfrm>
                          <a:off x="0" y="0"/>
                          <a:ext cx="1440815" cy="0"/>
                        </a:xfrm>
                        <a:prstGeom prst="line">
                          <a:avLst/>
                        </a:prstGeom>
                        <a:noFill/>
                        <a:ln w="6350" cap="flat" cmpd="sng" algn="ctr">
                          <a:solidFill>
                            <a:srgbClr val="000000"/>
                          </a:solidFill>
                          <a:prstDash val="solid"/>
                          <a:miter lim="800000"/>
                        </a:ln>
                        <a:effectLst/>
                      </wps:spPr>
                      <wps:bodyPr/>
                    </wps:wsp>
                  </a:graphicData>
                </a:graphic>
              </wp:anchor>
            </w:drawing>
          </mc:Choice>
          <mc:Fallback>
            <w:pict>
              <v:line id="_x0000_s1026" o:spid="_x0000_s1026" o:spt="20" style="position:absolute;left:0pt;margin-left:176.4pt;margin-top:22.95pt;height:0pt;width:113.45pt;z-index:251662336;mso-width-relative:page;mso-height-relative:page;" filled="f" stroked="t" coordsize="21600,21600" o:gfxdata="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AM+4+&#10;1wAAAAkBAAAPAAAAAAAAAAEAIAAAACIAAABkcnMvZG93bnJldi54bWxQSwECFAAUAAAACACHTuJA&#10;D+YiNukBAADBAwAADgAAAAAAAAABACAAAAAmAQAAZHJzL2Uyb0RvYy54bWxQSwUGAAAAAAYABgBZ&#10;AQAAgQUAAAAA&#10;">
                <v:fill on="f" focussize="0,0"/>
                <v:stroke weight="0.5pt" color="#000000" miterlimit="8" joinstyle="miter"/>
                <v:imagedata o:title=""/>
                <o:lock v:ext="edit" aspectratio="f"/>
              </v:line>
            </w:pict>
          </mc:Fallback>
        </mc:AlternateContent>
      </w:r>
      <w:r>
        <w:rPr>
          <w:rFonts w:hint="eastAsia" w:ascii="仿宋" w:hAnsi="仿宋" w:eastAsia="仿宋"/>
          <w:sz w:val="24"/>
        </w:rPr>
        <w:t xml:space="preserve"> </w:t>
      </w:r>
      <w:r>
        <w:rPr>
          <w:rFonts w:ascii="仿宋" w:hAnsi="仿宋" w:eastAsia="仿宋"/>
          <w:sz w:val="24"/>
        </w:rPr>
        <w:t xml:space="preserve">                    </w:t>
      </w:r>
      <w:r>
        <w:rPr>
          <w:rFonts w:hint="eastAsia" w:ascii="仿宋" w:hAnsi="仿宋" w:eastAsia="仿宋"/>
          <w:sz w:val="24"/>
        </w:rPr>
        <w:t>任课教师：</w:t>
      </w:r>
      <w:r>
        <w:rPr>
          <w:rFonts w:hint="eastAsia" w:ascii="仿宋" w:hAnsi="仿宋" w:eastAsia="仿宋"/>
          <w:sz w:val="24"/>
          <w:lang w:val="en-US" w:eastAsia="zh-CN"/>
        </w:rPr>
        <w:t xml:space="preserve">  王小宁   </w:t>
      </w:r>
    </w:p>
    <w:p w14:paraId="20B64F86">
      <w:pPr>
        <w:spacing w:line="480" w:lineRule="auto"/>
        <w:rPr>
          <w:rFonts w:ascii="仿宋" w:hAnsi="仿宋" w:eastAsia="仿宋"/>
          <w:sz w:val="24"/>
        </w:rPr>
      </w:pPr>
      <w:r>
        <w:rPr>
          <w:rFonts w:hint="eastAsia" w:ascii="仿宋" w:hAnsi="仿宋" w:eastAsia="仿宋"/>
          <w:sz w:val="24"/>
        </w:rPr>
        <w:t xml:space="preserve"> </w:t>
      </w:r>
      <w:r>
        <w:rPr>
          <w:rFonts w:ascii="仿宋" w:hAnsi="仿宋" w:eastAsia="仿宋"/>
          <w:sz w:val="24"/>
        </w:rPr>
        <w:t xml:space="preserve">              </w:t>
      </w:r>
    </w:p>
    <w:p w14:paraId="4F3F6AB7">
      <w:pPr>
        <w:spacing w:line="480" w:lineRule="auto"/>
        <w:ind w:firstLine="2520" w:firstLineChars="1050"/>
        <w:rPr>
          <w:rFonts w:hint="default" w:ascii="仿宋" w:hAnsi="仿宋" w:eastAsia="仿宋"/>
          <w:sz w:val="24"/>
          <w:lang w:val="en-US" w:eastAsia="zh-CN"/>
        </w:rPr>
      </w:pPr>
      <w:r>
        <w:rPr>
          <w:rFonts w:ascii="仿宋" w:hAnsi="仿宋" w:eastAsia="仿宋"/>
          <w:sz w:val="24"/>
        </w:rPr>
        <mc:AlternateContent>
          <mc:Choice Requires="wps">
            <w:drawing>
              <wp:anchor distT="0" distB="0" distL="114300" distR="114300" simplePos="0" relativeHeight="251661312" behindDoc="0" locked="0" layoutInCell="1" allowOverlap="1">
                <wp:simplePos x="0" y="0"/>
                <wp:positionH relativeFrom="column">
                  <wp:posOffset>2240280</wp:posOffset>
                </wp:positionH>
                <wp:positionV relativeFrom="paragraph">
                  <wp:posOffset>289560</wp:posOffset>
                </wp:positionV>
                <wp:extent cx="1440815" cy="0"/>
                <wp:effectExtent l="0" t="4445" r="6985" b="5080"/>
                <wp:wrapNone/>
                <wp:docPr id="15" name="直接连接符 15"/>
                <wp:cNvGraphicFramePr/>
                <a:graphic xmlns:a="http://schemas.openxmlformats.org/drawingml/2006/main">
                  <a:graphicData uri="http://schemas.microsoft.com/office/word/2010/wordprocessingShape">
                    <wps:wsp>
                      <wps:cNvCnPr/>
                      <wps:spPr>
                        <a:xfrm>
                          <a:off x="0" y="0"/>
                          <a:ext cx="1440815" cy="0"/>
                        </a:xfrm>
                        <a:prstGeom prst="line">
                          <a:avLst/>
                        </a:prstGeom>
                        <a:noFill/>
                        <a:ln w="6350" cap="flat" cmpd="sng" algn="ctr">
                          <a:solidFill>
                            <a:srgbClr val="000000"/>
                          </a:solidFill>
                          <a:prstDash val="solid"/>
                          <a:miter lim="800000"/>
                        </a:ln>
                        <a:effectLst/>
                      </wps:spPr>
                      <wps:bodyPr/>
                    </wps:wsp>
                  </a:graphicData>
                </a:graphic>
              </wp:anchor>
            </w:drawing>
          </mc:Choice>
          <mc:Fallback>
            <w:pict>
              <v:line id="_x0000_s1026" o:spid="_x0000_s1026" o:spt="20" style="position:absolute;left:0pt;margin-left:176.4pt;margin-top:22.8pt;height:0pt;width:113.45pt;z-index:251661312;mso-width-relative:page;mso-height-relative:page;" filled="f" stroked="t" coordsize="21600,21600" o:gfxdata="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Ik3YVHX&#10;AAAACQEAAA8AAAAAAAAAAQAgAAAAIgAAAGRycy9kb3ducmV2LnhtbFBLAQIUABQAAAAIAIdO4kAE&#10;qnQo6AEAAMEDAAAOAAAAAAAAAAEAIAAAACYBAABkcnMvZTJvRG9jLnhtbFBLBQYAAAAABgAGAFkB&#10;AACABQAAAAA=&#10;">
                <v:fill on="f" focussize="0,0"/>
                <v:stroke weight="0.5pt" color="#000000" miterlimit="8" joinstyle="miter"/>
                <v:imagedata o:title=""/>
                <o:lock v:ext="edit" aspectratio="f"/>
              </v:line>
            </w:pict>
          </mc:Fallback>
        </mc:AlternateContent>
      </w:r>
      <w:r>
        <w:rPr>
          <w:rFonts w:hint="eastAsia" w:ascii="仿宋" w:hAnsi="仿宋" w:eastAsia="仿宋"/>
          <w:sz w:val="24"/>
        </w:rPr>
        <w:t xml:space="preserve">姓 </w:t>
      </w:r>
      <w:r>
        <w:rPr>
          <w:rFonts w:ascii="仿宋" w:hAnsi="仿宋" w:eastAsia="仿宋"/>
          <w:sz w:val="24"/>
        </w:rPr>
        <w:t xml:space="preserve">   </w:t>
      </w:r>
      <w:r>
        <w:rPr>
          <w:rFonts w:hint="eastAsia" w:ascii="仿宋" w:hAnsi="仿宋" w:eastAsia="仿宋"/>
          <w:sz w:val="24"/>
        </w:rPr>
        <w:t>名：</w:t>
      </w:r>
      <w:r>
        <w:rPr>
          <w:rFonts w:hint="eastAsia" w:ascii="仿宋" w:hAnsi="仿宋" w:eastAsia="仿宋"/>
          <w:sz w:val="24"/>
          <w:lang w:val="en-US" w:eastAsia="zh-CN"/>
        </w:rPr>
        <w:t xml:space="preserve">  庞祎彤</w:t>
      </w:r>
    </w:p>
    <w:p w14:paraId="28C4FE37">
      <w:pPr>
        <w:spacing w:line="480" w:lineRule="auto"/>
        <w:rPr>
          <w:rFonts w:hint="default" w:ascii="仿宋" w:hAnsi="仿宋" w:eastAsia="仿宋"/>
          <w:sz w:val="24"/>
          <w:lang w:val="en-US" w:eastAsia="zh-CN"/>
        </w:rPr>
      </w:pPr>
      <w:r>
        <w:rPr>
          <w:rFonts w:ascii="仿宋" w:hAnsi="仿宋" w:eastAsia="仿宋"/>
          <w:sz w:val="24"/>
        </w:rPr>
        <mc:AlternateContent>
          <mc:Choice Requires="wps">
            <w:drawing>
              <wp:anchor distT="0" distB="0" distL="114300" distR="114300" simplePos="0" relativeHeight="251659264" behindDoc="0" locked="0" layoutInCell="1" allowOverlap="1">
                <wp:simplePos x="0" y="0"/>
                <wp:positionH relativeFrom="column">
                  <wp:posOffset>2235200</wp:posOffset>
                </wp:positionH>
                <wp:positionV relativeFrom="paragraph">
                  <wp:posOffset>290830</wp:posOffset>
                </wp:positionV>
                <wp:extent cx="1445895" cy="0"/>
                <wp:effectExtent l="0" t="4445" r="1905" b="5080"/>
                <wp:wrapNone/>
                <wp:docPr id="12" name="直接连接符 12"/>
                <wp:cNvGraphicFramePr/>
                <a:graphic xmlns:a="http://schemas.openxmlformats.org/drawingml/2006/main">
                  <a:graphicData uri="http://schemas.microsoft.com/office/word/2010/wordprocessingShape">
                    <wps:wsp>
                      <wps:cNvCnPr/>
                      <wps:spPr>
                        <a:xfrm>
                          <a:off x="0" y="0"/>
                          <a:ext cx="1445981" cy="0"/>
                        </a:xfrm>
                        <a:prstGeom prst="line">
                          <a:avLst/>
                        </a:prstGeom>
                        <a:noFill/>
                        <a:ln w="6350" cap="flat" cmpd="sng" algn="ctr">
                          <a:solidFill>
                            <a:srgbClr val="000000"/>
                          </a:solidFill>
                          <a:prstDash val="solid"/>
                          <a:miter lim="800000"/>
                        </a:ln>
                        <a:effectLst/>
                      </wps:spPr>
                      <wps:bodyPr/>
                    </wps:wsp>
                  </a:graphicData>
                </a:graphic>
              </wp:anchor>
            </w:drawing>
          </mc:Choice>
          <mc:Fallback>
            <w:pict>
              <v:line id="_x0000_s1026" o:spid="_x0000_s1026" o:spt="20" style="position:absolute;left:0pt;margin-left:176pt;margin-top:22.9pt;height:0pt;width:113.85pt;z-index:251659264;mso-width-relative:page;mso-height-relative:page;" filled="f" stroked="t" coordsize="21600,21600" o:gfxdata="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nKJM&#10;9tcAAAAJAQAADwAAAAAAAAABACAAAAAiAAAAZHJzL2Rvd25yZXYueG1sUEsBAhQAFAAAAAgAh07i&#10;QKT1iHzqAQAAwQMAAA4AAAAAAAAAAQAgAAAAJgEAAGRycy9lMm9Eb2MueG1sUEsFBgAAAAAGAAYA&#10;WQEAAIIFAAAAAA==&#10;">
                <v:fill on="f" focussize="0,0"/>
                <v:stroke weight="0.5pt" color="#000000" miterlimit="8" joinstyle="miter"/>
                <v:imagedata o:title=""/>
                <o:lock v:ext="edit" aspectratio="f"/>
              </v:line>
            </w:pict>
          </mc:Fallback>
        </mc:AlternateContent>
      </w:r>
      <w:r>
        <w:rPr>
          <w:rFonts w:hint="eastAsia" w:ascii="仿宋" w:hAnsi="仿宋" w:eastAsia="仿宋"/>
          <w:sz w:val="24"/>
        </w:rPr>
        <w:t xml:space="preserve"> </w:t>
      </w:r>
      <w:r>
        <w:rPr>
          <w:rFonts w:ascii="仿宋" w:hAnsi="仿宋" w:eastAsia="仿宋"/>
          <w:sz w:val="24"/>
        </w:rPr>
        <w:t xml:space="preserve">                    </w:t>
      </w:r>
      <w:r>
        <w:rPr>
          <w:rFonts w:hint="eastAsia" w:ascii="仿宋" w:hAnsi="仿宋" w:eastAsia="仿宋"/>
          <w:sz w:val="24"/>
        </w:rPr>
        <w:t xml:space="preserve">学 </w:t>
      </w:r>
      <w:r>
        <w:rPr>
          <w:rFonts w:ascii="仿宋" w:hAnsi="仿宋" w:eastAsia="仿宋"/>
          <w:sz w:val="24"/>
        </w:rPr>
        <w:t xml:space="preserve">   </w:t>
      </w:r>
      <w:r>
        <w:rPr>
          <w:rFonts w:hint="eastAsia" w:ascii="仿宋" w:hAnsi="仿宋" w:eastAsia="仿宋"/>
          <w:sz w:val="24"/>
        </w:rPr>
        <w:t>号：</w:t>
      </w:r>
      <w:r>
        <w:rPr>
          <w:rFonts w:hint="eastAsia" w:ascii="仿宋" w:hAnsi="仿宋" w:eastAsia="仿宋"/>
          <w:sz w:val="24"/>
          <w:lang w:val="en-US" w:eastAsia="zh-CN"/>
        </w:rPr>
        <w:t>202413093001</w:t>
      </w:r>
    </w:p>
    <w:p w14:paraId="2F6277A6">
      <w:pPr>
        <w:spacing w:line="360" w:lineRule="auto"/>
        <w:rPr>
          <w:rFonts w:ascii="仿宋" w:hAnsi="仿宋" w:eastAsia="仿宋"/>
          <w:sz w:val="24"/>
        </w:rPr>
      </w:pPr>
    </w:p>
    <w:p w14:paraId="5B13A3C6">
      <w:pPr>
        <w:spacing w:line="360" w:lineRule="auto"/>
        <w:rPr>
          <w:rFonts w:ascii="仿宋" w:hAnsi="仿宋" w:eastAsia="仿宋"/>
          <w:sz w:val="24"/>
        </w:rPr>
      </w:pPr>
    </w:p>
    <w:p w14:paraId="5B3793D0">
      <w:pPr>
        <w:spacing w:line="480" w:lineRule="auto"/>
        <w:jc w:val="center"/>
        <w:rPr>
          <w:rFonts w:ascii="仿宋" w:hAnsi="仿宋" w:eastAsia="仿宋"/>
          <w:szCs w:val="21"/>
        </w:rPr>
      </w:pPr>
      <w:r>
        <w:rPr>
          <w:rFonts w:hint="eastAsia" w:ascii="仿宋" w:hAnsi="仿宋" w:eastAsia="仿宋"/>
          <w:sz w:val="18"/>
          <w:szCs w:val="18"/>
        </w:rPr>
        <w:t xml:space="preserve"> </w:t>
      </w:r>
      <w:r>
        <w:rPr>
          <w:rFonts w:ascii="仿宋" w:hAnsi="仿宋" w:eastAsia="仿宋"/>
          <w:sz w:val="18"/>
          <w:szCs w:val="18"/>
        </w:rPr>
        <w:t xml:space="preserve"> </w:t>
      </w:r>
      <w:r>
        <w:rPr>
          <w:rFonts w:hint="eastAsia" w:ascii="仿宋" w:hAnsi="仿宋" w:eastAsia="仿宋"/>
          <w:b/>
          <w:bCs/>
          <w:szCs w:val="21"/>
        </w:rPr>
        <w:t>评分</w:t>
      </w:r>
      <w:r>
        <w:rPr>
          <w:rFonts w:ascii="仿宋" w:hAnsi="仿宋" w:eastAsia="仿宋"/>
          <w:b/>
          <w:bCs/>
          <w:szCs w:val="21"/>
        </w:rPr>
        <w:t>区域</w:t>
      </w:r>
      <w:r>
        <w:rPr>
          <w:rFonts w:hint="eastAsia" w:ascii="仿宋" w:hAnsi="仿宋" w:eastAsia="仿宋"/>
          <w:b/>
          <w:bCs/>
          <w:szCs w:val="21"/>
        </w:rPr>
        <w:t>（由阅卷老师</w:t>
      </w:r>
      <w:r>
        <w:rPr>
          <w:rFonts w:ascii="仿宋" w:hAnsi="仿宋" w:eastAsia="仿宋"/>
          <w:b/>
          <w:bCs/>
          <w:szCs w:val="21"/>
        </w:rPr>
        <w:t>填写）：</w:t>
      </w:r>
    </w:p>
    <w:p w14:paraId="79EBF537">
      <w:pPr>
        <w:spacing w:line="480" w:lineRule="auto"/>
        <w:ind w:firstLine="3120" w:firstLineChars="1300"/>
        <w:rPr>
          <w:rFonts w:ascii="仿宋" w:hAnsi="仿宋" w:eastAsia="仿宋"/>
          <w:sz w:val="24"/>
        </w:rPr>
      </w:pPr>
      <w:r>
        <w:rPr>
          <w:rFonts w:ascii="仿宋" w:hAnsi="仿宋" w:eastAsia="仿宋"/>
          <w:sz w:val="24"/>
        </w:rPr>
        <mc:AlternateContent>
          <mc:Choice Requires="wps">
            <w:drawing>
              <wp:anchor distT="0" distB="0" distL="114300" distR="114300" simplePos="0" relativeHeight="251660288" behindDoc="0" locked="0" layoutInCell="1" allowOverlap="1">
                <wp:simplePos x="0" y="0"/>
                <wp:positionH relativeFrom="column">
                  <wp:posOffset>2613025</wp:posOffset>
                </wp:positionH>
                <wp:positionV relativeFrom="paragraph">
                  <wp:posOffset>289560</wp:posOffset>
                </wp:positionV>
                <wp:extent cx="715645" cy="0"/>
                <wp:effectExtent l="0" t="4445" r="8255" b="5080"/>
                <wp:wrapNone/>
                <wp:docPr id="13" name="直接连接符 13"/>
                <wp:cNvGraphicFramePr/>
                <a:graphic xmlns:a="http://schemas.openxmlformats.org/drawingml/2006/main">
                  <a:graphicData uri="http://schemas.microsoft.com/office/word/2010/wordprocessingShape">
                    <wps:wsp>
                      <wps:cNvCnPr/>
                      <wps:spPr>
                        <a:xfrm>
                          <a:off x="0" y="0"/>
                          <a:ext cx="715332" cy="0"/>
                        </a:xfrm>
                        <a:prstGeom prst="line">
                          <a:avLst/>
                        </a:prstGeom>
                        <a:noFill/>
                        <a:ln w="6350" cap="flat" cmpd="sng" algn="ctr">
                          <a:solidFill>
                            <a:srgbClr val="000000"/>
                          </a:solidFill>
                          <a:prstDash val="solid"/>
                          <a:miter lim="800000"/>
                        </a:ln>
                        <a:effectLst/>
                      </wps:spPr>
                      <wps:bodyPr/>
                    </wps:wsp>
                  </a:graphicData>
                </a:graphic>
              </wp:anchor>
            </w:drawing>
          </mc:Choice>
          <mc:Fallback>
            <w:pict>
              <v:line id="_x0000_s1026" o:spid="_x0000_s1026" o:spt="20" style="position:absolute;left:0pt;margin-left:205.75pt;margin-top:22.8pt;height:0pt;width:56.35pt;z-index:251660288;mso-width-relative:page;mso-height-relative:page;" filled="f" stroked="t" coordsize="21600,21600" o:gfxdata="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oCEyttYA&#10;AAAJAQAADwAAAAAAAAABACAAAAAiAAAAZHJzL2Rvd25yZXYueG1sUEsBAhQAFAAAAAgAh07iQGpO&#10;rbjoAQAAwAMAAA4AAAAAAAAAAQAgAAAAJQEAAGRycy9lMm9Eb2MueG1sUEsFBgAAAAAGAAYAWQEA&#10;AH8FAAAAAA==&#10;">
                <v:fill on="f" focussize="0,0"/>
                <v:stroke weight="0.5pt" color="#000000" miterlimit="8" joinstyle="miter"/>
                <v:imagedata o:title=""/>
                <o:lock v:ext="edit" aspectratio="f"/>
              </v:line>
            </w:pict>
          </mc:Fallback>
        </mc:AlternateContent>
      </w:r>
      <w:r>
        <w:rPr>
          <w:rFonts w:hint="eastAsia" w:ascii="仿宋" w:hAnsi="仿宋" w:eastAsia="仿宋"/>
          <w:sz w:val="24"/>
        </w:rPr>
        <w:t>结课成绩：</w:t>
      </w:r>
    </w:p>
    <w:p w14:paraId="06C076F0">
      <w:pPr>
        <w:spacing w:line="480" w:lineRule="auto"/>
        <w:ind w:firstLine="3120" w:firstLineChars="1300"/>
        <w:rPr>
          <w:rFonts w:ascii="仿宋" w:hAnsi="仿宋" w:eastAsia="仿宋"/>
          <w:sz w:val="24"/>
        </w:rPr>
      </w:pPr>
      <w:r>
        <w:rPr>
          <w:rFonts w:ascii="仿宋" w:hAnsi="仿宋" w:eastAsia="仿宋"/>
          <w:sz w:val="24"/>
        </w:rPr>
        <mc:AlternateContent>
          <mc:Choice Requires="wps">
            <w:drawing>
              <wp:anchor distT="0" distB="0" distL="114300" distR="114300" simplePos="0" relativeHeight="251667456" behindDoc="0" locked="0" layoutInCell="1" allowOverlap="1">
                <wp:simplePos x="0" y="0"/>
                <wp:positionH relativeFrom="column">
                  <wp:posOffset>2613025</wp:posOffset>
                </wp:positionH>
                <wp:positionV relativeFrom="paragraph">
                  <wp:posOffset>284480</wp:posOffset>
                </wp:positionV>
                <wp:extent cx="715010" cy="0"/>
                <wp:effectExtent l="0" t="4445" r="0" b="5080"/>
                <wp:wrapNone/>
                <wp:docPr id="22" name="直接连接符 22"/>
                <wp:cNvGraphicFramePr/>
                <a:graphic xmlns:a="http://schemas.openxmlformats.org/drawingml/2006/main">
                  <a:graphicData uri="http://schemas.microsoft.com/office/word/2010/wordprocessingShape">
                    <wps:wsp>
                      <wps:cNvCnPr/>
                      <wps:spPr>
                        <a:xfrm>
                          <a:off x="0" y="0"/>
                          <a:ext cx="715010" cy="0"/>
                        </a:xfrm>
                        <a:prstGeom prst="line">
                          <a:avLst/>
                        </a:prstGeom>
                        <a:noFill/>
                        <a:ln w="6350" cap="flat" cmpd="sng" algn="ctr">
                          <a:solidFill>
                            <a:srgbClr val="000000"/>
                          </a:solidFill>
                          <a:prstDash val="solid"/>
                          <a:miter lim="800000"/>
                        </a:ln>
                        <a:effectLst/>
                      </wps:spPr>
                      <wps:bodyPr/>
                    </wps:wsp>
                  </a:graphicData>
                </a:graphic>
              </wp:anchor>
            </w:drawing>
          </mc:Choice>
          <mc:Fallback>
            <w:pict>
              <v:line id="_x0000_s1026" o:spid="_x0000_s1026" o:spt="20" style="position:absolute;left:0pt;margin-left:205.75pt;margin-top:22.4pt;height:0pt;width:56.3pt;z-index:251667456;mso-width-relative:page;mso-height-relative:page;" filled="f" stroked="t" coordsize="21600,21600" o:gfxdata="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cCzN1gAA&#10;AAkBAAAPAAAAAAAAAAEAIAAAACIAAABkcnMvZG93bnJldi54bWxQSwECFAAUAAAACACHTuJAz6nC&#10;p+cBAADAAwAADgAAAAAAAAABACAAAAAlAQAAZHJzL2Uyb0RvYy54bWxQSwUGAAAAAAYABgBZAQAA&#10;fgUAAAAA&#10;">
                <v:fill on="f" focussize="0,0"/>
                <v:stroke weight="0.5pt" color="#000000" miterlimit="8" joinstyle="miter"/>
                <v:imagedata o:title=""/>
                <o:lock v:ext="edit" aspectratio="f"/>
              </v:line>
            </w:pict>
          </mc:Fallback>
        </mc:AlternateContent>
      </w:r>
      <w:r>
        <w:rPr>
          <w:rFonts w:hint="eastAsia" w:ascii="仿宋" w:hAnsi="仿宋" w:eastAsia="仿宋"/>
          <w:sz w:val="24"/>
        </w:rPr>
        <w:t>总评成绩：</w:t>
      </w:r>
    </w:p>
    <w:p w14:paraId="4DBB92BF">
      <w:pPr>
        <w:jc w:val="center"/>
        <w:rPr>
          <w:rFonts w:hint="eastAsia" w:ascii="Helvetica" w:hAnsi="Helvetica" w:eastAsia="宋体" w:cs="Helvetica"/>
          <w:i w:val="0"/>
          <w:iCs w:val="0"/>
          <w:caps w:val="0"/>
          <w:color w:val="262833"/>
          <w:spacing w:val="4"/>
          <w:sz w:val="24"/>
          <w:szCs w:val="24"/>
          <w:shd w:val="clear" w:fill="FFFFFF"/>
          <w:lang w:val="en-US" w:eastAsia="zh-CN"/>
        </w:rPr>
      </w:pPr>
      <w:r>
        <w:rPr>
          <w:rFonts w:hint="eastAsia" w:ascii="仿宋" w:hAnsi="仿宋" w:eastAsia="仿宋"/>
          <w:szCs w:val="21"/>
        </w:rPr>
        <w:t xml:space="preserve">提交时间： </w:t>
      </w:r>
      <w:r>
        <w:rPr>
          <w:rFonts w:hint="eastAsia" w:ascii="仿宋" w:hAnsi="仿宋" w:eastAsia="仿宋"/>
          <w:szCs w:val="21"/>
          <w:lang w:val="en-US" w:eastAsia="zh-CN"/>
        </w:rPr>
        <w:t>2025</w:t>
      </w:r>
      <w:r>
        <w:rPr>
          <w:rFonts w:hint="eastAsia" w:ascii="仿宋" w:hAnsi="仿宋" w:eastAsia="仿宋"/>
          <w:szCs w:val="21"/>
        </w:rPr>
        <w:t>年</w:t>
      </w:r>
      <w:r>
        <w:rPr>
          <w:rFonts w:ascii="仿宋" w:hAnsi="仿宋" w:eastAsia="仿宋"/>
          <w:szCs w:val="21"/>
        </w:rPr>
        <w:t xml:space="preserve"> </w:t>
      </w:r>
      <w:r>
        <w:rPr>
          <w:rFonts w:hint="eastAsia" w:ascii="仿宋" w:hAnsi="仿宋" w:eastAsia="仿宋"/>
          <w:szCs w:val="21"/>
          <w:lang w:val="en-US" w:eastAsia="zh-CN"/>
        </w:rPr>
        <w:t>11</w:t>
      </w:r>
      <w:r>
        <w:rPr>
          <w:rFonts w:hint="eastAsia" w:ascii="仿宋" w:hAnsi="仿宋" w:eastAsia="仿宋"/>
          <w:szCs w:val="21"/>
        </w:rPr>
        <w:t xml:space="preserve">月 </w:t>
      </w:r>
      <w:r>
        <w:rPr>
          <w:rFonts w:hint="eastAsia" w:ascii="仿宋" w:hAnsi="仿宋" w:eastAsia="仿宋"/>
          <w:szCs w:val="21"/>
          <w:lang w:val="en-US" w:eastAsia="zh-CN"/>
        </w:rPr>
        <w:t>30</w:t>
      </w:r>
      <w:r>
        <w:rPr>
          <w:rFonts w:hint="eastAsia" w:ascii="仿宋" w:hAnsi="仿宋" w:eastAsia="仿宋"/>
          <w:szCs w:val="21"/>
        </w:rPr>
        <w:t>日</w:t>
      </w:r>
    </w:p>
    <w:sdt>
      <w:sdtPr>
        <w:rPr>
          <w:rFonts w:ascii="宋体" w:hAnsi="宋体" w:eastAsia="宋体" w:cs="Times New Roman"/>
          <w:b/>
          <w:bCs/>
          <w:color w:val="auto"/>
          <w:kern w:val="2"/>
          <w:sz w:val="32"/>
          <w:szCs w:val="32"/>
          <w:lang w:val="en-US" w:eastAsia="zh-CN" w:bidi="ar-SA"/>
        </w:rPr>
        <w:id w:val="147466925"/>
        <w15:color w:val="DBDBDB"/>
        <w:docPartObj>
          <w:docPartGallery w:val="Table of Contents"/>
          <w:docPartUnique/>
        </w:docPartObj>
      </w:sdtPr>
      <w:sdtEndPr>
        <w:rPr>
          <w:rFonts w:ascii="宋体" w:hAnsi="宋体" w:eastAsia="宋体" w:cs="Times New Roman"/>
          <w:b/>
          <w:bCs/>
          <w:color w:val="auto"/>
          <w:kern w:val="2"/>
          <w:sz w:val="24"/>
          <w:szCs w:val="24"/>
          <w:lang w:val="en-US" w:eastAsia="zh-CN" w:bidi="ar-SA"/>
        </w:rPr>
      </w:sdtEndPr>
      <w:sdtContent>
        <w:p w14:paraId="07698D7C">
          <w:pPr>
            <w:spacing w:before="0" w:beforeLines="0" w:after="0" w:afterLines="0" w:line="240" w:lineRule="auto"/>
            <w:ind w:left="0" w:leftChars="0" w:right="0" w:rightChars="0" w:firstLine="0" w:firstLineChars="0"/>
            <w:jc w:val="center"/>
            <w:rPr>
              <w:b/>
              <w:bCs/>
              <w:sz w:val="32"/>
              <w:szCs w:val="32"/>
            </w:rPr>
          </w:pPr>
          <w:r>
            <w:rPr>
              <w:rFonts w:ascii="宋体" w:hAnsi="宋体" w:eastAsia="宋体"/>
              <w:b/>
              <w:bCs/>
              <w:sz w:val="32"/>
              <w:szCs w:val="32"/>
            </w:rPr>
            <w:t>目录</w:t>
          </w:r>
        </w:p>
        <w:p w14:paraId="6F496327">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TOC \o "1-3" \h \u </w:instrText>
          </w:r>
          <w:r>
            <w:rPr>
              <w:sz w:val="24"/>
              <w:szCs w:val="24"/>
            </w:rPr>
            <w:fldChar w:fldCharType="separate"/>
          </w:r>
          <w:r>
            <w:rPr>
              <w:sz w:val="24"/>
              <w:szCs w:val="24"/>
            </w:rPr>
            <w:fldChar w:fldCharType="begin"/>
          </w:r>
          <w:r>
            <w:rPr>
              <w:sz w:val="24"/>
              <w:szCs w:val="24"/>
            </w:rPr>
            <w:instrText xml:space="preserve"> HYPERLINK \l _Toc12092 </w:instrText>
          </w:r>
          <w:r>
            <w:rPr>
              <w:sz w:val="24"/>
              <w:szCs w:val="24"/>
            </w:rPr>
            <w:fldChar w:fldCharType="separate"/>
          </w:r>
          <w:r>
            <w:rPr>
              <w:rFonts w:hint="eastAsia" w:asciiTheme="minorEastAsia" w:hAnsiTheme="minorEastAsia" w:eastAsiaTheme="minorEastAsia" w:cstheme="minorEastAsia"/>
              <w:sz w:val="24"/>
              <w:szCs w:val="24"/>
            </w:rPr>
            <w:t>摘要</w:t>
          </w:r>
          <w:r>
            <w:rPr>
              <w:sz w:val="24"/>
              <w:szCs w:val="24"/>
            </w:rPr>
            <w:tab/>
          </w:r>
          <w:r>
            <w:rPr>
              <w:sz w:val="24"/>
              <w:szCs w:val="24"/>
            </w:rPr>
            <w:fldChar w:fldCharType="begin"/>
          </w:r>
          <w:r>
            <w:rPr>
              <w:sz w:val="24"/>
              <w:szCs w:val="24"/>
            </w:rPr>
            <w:instrText xml:space="preserve"> PAGEREF _Toc12092 \h </w:instrText>
          </w:r>
          <w:r>
            <w:rPr>
              <w:sz w:val="24"/>
              <w:szCs w:val="24"/>
            </w:rPr>
            <w:fldChar w:fldCharType="separate"/>
          </w:r>
          <w:r>
            <w:rPr>
              <w:sz w:val="24"/>
              <w:szCs w:val="24"/>
            </w:rPr>
            <w:t>1</w:t>
          </w:r>
          <w:r>
            <w:rPr>
              <w:sz w:val="24"/>
              <w:szCs w:val="24"/>
            </w:rPr>
            <w:fldChar w:fldCharType="end"/>
          </w:r>
          <w:r>
            <w:rPr>
              <w:sz w:val="24"/>
              <w:szCs w:val="24"/>
            </w:rPr>
            <w:fldChar w:fldCharType="end"/>
          </w:r>
        </w:p>
        <w:p w14:paraId="2757F65E">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_Toc22172 </w:instrText>
          </w:r>
          <w:r>
            <w:rPr>
              <w:sz w:val="24"/>
              <w:szCs w:val="24"/>
            </w:rPr>
            <w:fldChar w:fldCharType="separate"/>
          </w:r>
          <w:r>
            <w:rPr>
              <w:rFonts w:hint="eastAsia" w:asciiTheme="minorEastAsia" w:hAnsiTheme="minorEastAsia" w:eastAsiaTheme="minorEastAsia" w:cstheme="minorEastAsia"/>
              <w:sz w:val="24"/>
              <w:szCs w:val="24"/>
            </w:rPr>
            <w:t>一、 引言：游戏作为文化传播新媒介</w:t>
          </w:r>
          <w:r>
            <w:rPr>
              <w:sz w:val="24"/>
              <w:szCs w:val="24"/>
            </w:rPr>
            <w:tab/>
          </w:r>
          <w:r>
            <w:rPr>
              <w:sz w:val="24"/>
              <w:szCs w:val="24"/>
            </w:rPr>
            <w:fldChar w:fldCharType="begin"/>
          </w:r>
          <w:r>
            <w:rPr>
              <w:sz w:val="24"/>
              <w:szCs w:val="24"/>
            </w:rPr>
            <w:instrText xml:space="preserve"> PAGEREF _Toc22172 \h </w:instrText>
          </w:r>
          <w:r>
            <w:rPr>
              <w:sz w:val="24"/>
              <w:szCs w:val="24"/>
            </w:rPr>
            <w:fldChar w:fldCharType="separate"/>
          </w:r>
          <w:r>
            <w:rPr>
              <w:sz w:val="24"/>
              <w:szCs w:val="24"/>
            </w:rPr>
            <w:t>2</w:t>
          </w:r>
          <w:r>
            <w:rPr>
              <w:sz w:val="24"/>
              <w:szCs w:val="24"/>
            </w:rPr>
            <w:fldChar w:fldCharType="end"/>
          </w:r>
          <w:r>
            <w:rPr>
              <w:sz w:val="24"/>
              <w:szCs w:val="24"/>
            </w:rPr>
            <w:fldChar w:fldCharType="end"/>
          </w:r>
        </w:p>
        <w:p w14:paraId="2F839B40">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_Toc3071 </w:instrText>
          </w:r>
          <w:r>
            <w:rPr>
              <w:sz w:val="24"/>
              <w:szCs w:val="24"/>
            </w:rPr>
            <w:fldChar w:fldCharType="separate"/>
          </w:r>
          <w:r>
            <w:rPr>
              <w:rFonts w:hint="eastAsia" w:asciiTheme="minorEastAsia" w:hAnsiTheme="minorEastAsia" w:eastAsiaTheme="minorEastAsia" w:cstheme="minorEastAsia"/>
              <w:sz w:val="24"/>
              <w:szCs w:val="24"/>
            </w:rPr>
            <w:t>二、 文献综述：数字时代的文化传播理论</w:t>
          </w:r>
          <w:r>
            <w:rPr>
              <w:sz w:val="24"/>
              <w:szCs w:val="24"/>
            </w:rPr>
            <w:tab/>
          </w:r>
          <w:r>
            <w:rPr>
              <w:sz w:val="24"/>
              <w:szCs w:val="24"/>
            </w:rPr>
            <w:fldChar w:fldCharType="begin"/>
          </w:r>
          <w:r>
            <w:rPr>
              <w:sz w:val="24"/>
              <w:szCs w:val="24"/>
            </w:rPr>
            <w:instrText xml:space="preserve"> PAGEREF _Toc3071 \h </w:instrText>
          </w:r>
          <w:r>
            <w:rPr>
              <w:sz w:val="24"/>
              <w:szCs w:val="24"/>
            </w:rPr>
            <w:fldChar w:fldCharType="separate"/>
          </w:r>
          <w:r>
            <w:rPr>
              <w:sz w:val="24"/>
              <w:szCs w:val="24"/>
            </w:rPr>
            <w:t>3</w:t>
          </w:r>
          <w:r>
            <w:rPr>
              <w:sz w:val="24"/>
              <w:szCs w:val="24"/>
            </w:rPr>
            <w:fldChar w:fldCharType="end"/>
          </w:r>
          <w:r>
            <w:rPr>
              <w:sz w:val="24"/>
              <w:szCs w:val="24"/>
            </w:rPr>
            <w:fldChar w:fldCharType="end"/>
          </w:r>
        </w:p>
        <w:p w14:paraId="0BA3035B">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_Toc23677 </w:instrText>
          </w:r>
          <w:r>
            <w:rPr>
              <w:sz w:val="24"/>
              <w:szCs w:val="24"/>
            </w:rPr>
            <w:fldChar w:fldCharType="separate"/>
          </w:r>
          <w:r>
            <w:rPr>
              <w:rFonts w:hint="eastAsia"/>
              <w:sz w:val="24"/>
              <w:szCs w:val="24"/>
            </w:rPr>
            <w:t>2.1 文化传播的数字化转向与媒介演进</w:t>
          </w:r>
          <w:r>
            <w:rPr>
              <w:sz w:val="24"/>
              <w:szCs w:val="24"/>
            </w:rPr>
            <w:tab/>
          </w:r>
          <w:r>
            <w:rPr>
              <w:sz w:val="24"/>
              <w:szCs w:val="24"/>
            </w:rPr>
            <w:fldChar w:fldCharType="begin"/>
          </w:r>
          <w:r>
            <w:rPr>
              <w:sz w:val="24"/>
              <w:szCs w:val="24"/>
            </w:rPr>
            <w:instrText xml:space="preserve"> PAGEREF _Toc23677 \h </w:instrText>
          </w:r>
          <w:r>
            <w:rPr>
              <w:sz w:val="24"/>
              <w:szCs w:val="24"/>
            </w:rPr>
            <w:fldChar w:fldCharType="separate"/>
          </w:r>
          <w:r>
            <w:rPr>
              <w:sz w:val="24"/>
              <w:szCs w:val="24"/>
            </w:rPr>
            <w:t>3</w:t>
          </w:r>
          <w:r>
            <w:rPr>
              <w:sz w:val="24"/>
              <w:szCs w:val="24"/>
            </w:rPr>
            <w:fldChar w:fldCharType="end"/>
          </w:r>
          <w:r>
            <w:rPr>
              <w:sz w:val="24"/>
              <w:szCs w:val="24"/>
            </w:rPr>
            <w:fldChar w:fldCharType="end"/>
          </w:r>
        </w:p>
        <w:p w14:paraId="4F459221">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_Toc32638 </w:instrText>
          </w:r>
          <w:r>
            <w:rPr>
              <w:sz w:val="24"/>
              <w:szCs w:val="24"/>
            </w:rPr>
            <w:fldChar w:fldCharType="separate"/>
          </w:r>
          <w:r>
            <w:rPr>
              <w:rFonts w:hint="eastAsia" w:asciiTheme="minorEastAsia" w:hAnsiTheme="minorEastAsia" w:eastAsiaTheme="minorEastAsia" w:cstheme="minorEastAsia"/>
              <w:sz w:val="24"/>
              <w:szCs w:val="24"/>
            </w:rPr>
            <w:t>2.2 游戏作为文化传播的“活化”媒介</w:t>
          </w:r>
          <w:r>
            <w:rPr>
              <w:sz w:val="24"/>
              <w:szCs w:val="24"/>
            </w:rPr>
            <w:tab/>
          </w:r>
          <w:r>
            <w:rPr>
              <w:sz w:val="24"/>
              <w:szCs w:val="24"/>
            </w:rPr>
            <w:fldChar w:fldCharType="begin"/>
          </w:r>
          <w:r>
            <w:rPr>
              <w:sz w:val="24"/>
              <w:szCs w:val="24"/>
            </w:rPr>
            <w:instrText xml:space="preserve"> PAGEREF _Toc32638 \h </w:instrText>
          </w:r>
          <w:r>
            <w:rPr>
              <w:sz w:val="24"/>
              <w:szCs w:val="24"/>
            </w:rPr>
            <w:fldChar w:fldCharType="separate"/>
          </w:r>
          <w:r>
            <w:rPr>
              <w:sz w:val="24"/>
              <w:szCs w:val="24"/>
            </w:rPr>
            <w:t>3</w:t>
          </w:r>
          <w:r>
            <w:rPr>
              <w:sz w:val="24"/>
              <w:szCs w:val="24"/>
            </w:rPr>
            <w:fldChar w:fldCharType="end"/>
          </w:r>
          <w:r>
            <w:rPr>
              <w:sz w:val="24"/>
              <w:szCs w:val="24"/>
            </w:rPr>
            <w:fldChar w:fldCharType="end"/>
          </w:r>
        </w:p>
        <w:p w14:paraId="5A4BD1BF">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_Toc26041 </w:instrText>
          </w:r>
          <w:r>
            <w:rPr>
              <w:sz w:val="24"/>
              <w:szCs w:val="24"/>
            </w:rPr>
            <w:fldChar w:fldCharType="separate"/>
          </w:r>
          <w:r>
            <w:rPr>
              <w:rFonts w:hint="eastAsia" w:asciiTheme="minorEastAsia" w:hAnsiTheme="minorEastAsia" w:eastAsiaTheme="minorEastAsia" w:cstheme="minorEastAsia"/>
              <w:sz w:val="24"/>
              <w:szCs w:val="24"/>
            </w:rPr>
            <w:t>2.3 传播效果的测量：从情感分析到行为意向</w:t>
          </w:r>
          <w:r>
            <w:rPr>
              <w:sz w:val="24"/>
              <w:szCs w:val="24"/>
            </w:rPr>
            <w:tab/>
          </w:r>
          <w:r>
            <w:rPr>
              <w:sz w:val="24"/>
              <w:szCs w:val="24"/>
            </w:rPr>
            <w:fldChar w:fldCharType="begin"/>
          </w:r>
          <w:r>
            <w:rPr>
              <w:sz w:val="24"/>
              <w:szCs w:val="24"/>
            </w:rPr>
            <w:instrText xml:space="preserve"> PAGEREF _Toc26041 \h </w:instrText>
          </w:r>
          <w:r>
            <w:rPr>
              <w:sz w:val="24"/>
              <w:szCs w:val="24"/>
            </w:rPr>
            <w:fldChar w:fldCharType="separate"/>
          </w:r>
          <w:r>
            <w:rPr>
              <w:sz w:val="24"/>
              <w:szCs w:val="24"/>
            </w:rPr>
            <w:t>4</w:t>
          </w:r>
          <w:r>
            <w:rPr>
              <w:sz w:val="24"/>
              <w:szCs w:val="24"/>
            </w:rPr>
            <w:fldChar w:fldCharType="end"/>
          </w:r>
          <w:r>
            <w:rPr>
              <w:sz w:val="24"/>
              <w:szCs w:val="24"/>
            </w:rPr>
            <w:fldChar w:fldCharType="end"/>
          </w:r>
        </w:p>
        <w:p w14:paraId="7E4790FB">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_Toc24383 </w:instrText>
          </w:r>
          <w:r>
            <w:rPr>
              <w:sz w:val="24"/>
              <w:szCs w:val="24"/>
            </w:rPr>
            <w:fldChar w:fldCharType="separate"/>
          </w:r>
          <w:r>
            <w:rPr>
              <w:rFonts w:hint="eastAsia" w:asciiTheme="minorEastAsia" w:hAnsiTheme="minorEastAsia" w:eastAsiaTheme="minorEastAsia" w:cstheme="minorEastAsia"/>
              <w:sz w:val="24"/>
              <w:szCs w:val="24"/>
            </w:rPr>
            <w:t>2.4 传播主体与社群互动的影响</w:t>
          </w:r>
          <w:r>
            <w:rPr>
              <w:sz w:val="24"/>
              <w:szCs w:val="24"/>
            </w:rPr>
            <w:tab/>
          </w:r>
          <w:r>
            <w:rPr>
              <w:sz w:val="24"/>
              <w:szCs w:val="24"/>
            </w:rPr>
            <w:fldChar w:fldCharType="begin"/>
          </w:r>
          <w:r>
            <w:rPr>
              <w:sz w:val="24"/>
              <w:szCs w:val="24"/>
            </w:rPr>
            <w:instrText xml:space="preserve"> PAGEREF _Toc24383 \h </w:instrText>
          </w:r>
          <w:r>
            <w:rPr>
              <w:sz w:val="24"/>
              <w:szCs w:val="24"/>
            </w:rPr>
            <w:fldChar w:fldCharType="separate"/>
          </w:r>
          <w:r>
            <w:rPr>
              <w:sz w:val="24"/>
              <w:szCs w:val="24"/>
            </w:rPr>
            <w:t>4</w:t>
          </w:r>
          <w:r>
            <w:rPr>
              <w:sz w:val="24"/>
              <w:szCs w:val="24"/>
            </w:rPr>
            <w:fldChar w:fldCharType="end"/>
          </w:r>
          <w:r>
            <w:rPr>
              <w:sz w:val="24"/>
              <w:szCs w:val="24"/>
            </w:rPr>
            <w:fldChar w:fldCharType="end"/>
          </w:r>
        </w:p>
        <w:p w14:paraId="293BA109">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_Toc24634 </w:instrText>
          </w:r>
          <w:r>
            <w:rPr>
              <w:sz w:val="24"/>
              <w:szCs w:val="24"/>
            </w:rPr>
            <w:fldChar w:fldCharType="separate"/>
          </w:r>
          <w:r>
            <w:rPr>
              <w:rFonts w:hint="eastAsia" w:asciiTheme="minorEastAsia" w:hAnsiTheme="minorEastAsia" w:eastAsiaTheme="minorEastAsia" w:cstheme="minorEastAsia"/>
              <w:sz w:val="24"/>
              <w:szCs w:val="24"/>
            </w:rPr>
            <w:t>2.5 研究空白与本研究的定位</w:t>
          </w:r>
          <w:r>
            <w:rPr>
              <w:sz w:val="24"/>
              <w:szCs w:val="24"/>
            </w:rPr>
            <w:tab/>
          </w:r>
          <w:r>
            <w:rPr>
              <w:sz w:val="24"/>
              <w:szCs w:val="24"/>
            </w:rPr>
            <w:fldChar w:fldCharType="begin"/>
          </w:r>
          <w:r>
            <w:rPr>
              <w:sz w:val="24"/>
              <w:szCs w:val="24"/>
            </w:rPr>
            <w:instrText xml:space="preserve"> PAGEREF _Toc24634 \h </w:instrText>
          </w:r>
          <w:r>
            <w:rPr>
              <w:sz w:val="24"/>
              <w:szCs w:val="24"/>
            </w:rPr>
            <w:fldChar w:fldCharType="separate"/>
          </w:r>
          <w:r>
            <w:rPr>
              <w:sz w:val="24"/>
              <w:szCs w:val="24"/>
            </w:rPr>
            <w:t>4</w:t>
          </w:r>
          <w:r>
            <w:rPr>
              <w:sz w:val="24"/>
              <w:szCs w:val="24"/>
            </w:rPr>
            <w:fldChar w:fldCharType="end"/>
          </w:r>
          <w:r>
            <w:rPr>
              <w:sz w:val="24"/>
              <w:szCs w:val="24"/>
            </w:rPr>
            <w:fldChar w:fldCharType="end"/>
          </w:r>
        </w:p>
        <w:p w14:paraId="08985794">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_Toc32277 </w:instrText>
          </w:r>
          <w:r>
            <w:rPr>
              <w:sz w:val="24"/>
              <w:szCs w:val="24"/>
            </w:rPr>
            <w:fldChar w:fldCharType="separate"/>
          </w:r>
          <w:r>
            <w:rPr>
              <w:rFonts w:hint="eastAsia" w:asciiTheme="minorEastAsia" w:hAnsiTheme="minorEastAsia" w:eastAsiaTheme="minorEastAsia" w:cstheme="minorEastAsia"/>
              <w:sz w:val="24"/>
              <w:szCs w:val="24"/>
            </w:rPr>
            <w:t>三、 研究方法：四维分析框架与数据来源</w:t>
          </w:r>
          <w:r>
            <w:rPr>
              <w:sz w:val="24"/>
              <w:szCs w:val="24"/>
            </w:rPr>
            <w:tab/>
          </w:r>
          <w:r>
            <w:rPr>
              <w:sz w:val="24"/>
              <w:szCs w:val="24"/>
            </w:rPr>
            <w:fldChar w:fldCharType="begin"/>
          </w:r>
          <w:r>
            <w:rPr>
              <w:sz w:val="24"/>
              <w:szCs w:val="24"/>
            </w:rPr>
            <w:instrText xml:space="preserve"> PAGEREF _Toc32277 \h </w:instrText>
          </w:r>
          <w:r>
            <w:rPr>
              <w:sz w:val="24"/>
              <w:szCs w:val="24"/>
            </w:rPr>
            <w:fldChar w:fldCharType="separate"/>
          </w:r>
          <w:r>
            <w:rPr>
              <w:sz w:val="24"/>
              <w:szCs w:val="24"/>
            </w:rPr>
            <w:t>5</w:t>
          </w:r>
          <w:r>
            <w:rPr>
              <w:sz w:val="24"/>
              <w:szCs w:val="24"/>
            </w:rPr>
            <w:fldChar w:fldCharType="end"/>
          </w:r>
          <w:r>
            <w:rPr>
              <w:sz w:val="24"/>
              <w:szCs w:val="24"/>
            </w:rPr>
            <w:fldChar w:fldCharType="end"/>
          </w:r>
        </w:p>
        <w:p w14:paraId="4D8A5D51">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_Toc17870 </w:instrText>
          </w:r>
          <w:r>
            <w:rPr>
              <w:sz w:val="24"/>
              <w:szCs w:val="24"/>
            </w:rPr>
            <w:fldChar w:fldCharType="separate"/>
          </w:r>
          <w:r>
            <w:rPr>
              <w:rFonts w:hint="eastAsia" w:asciiTheme="minorEastAsia" w:hAnsiTheme="minorEastAsia" w:eastAsiaTheme="minorEastAsia" w:cstheme="minorEastAsia"/>
              <w:sz w:val="24"/>
              <w:szCs w:val="24"/>
            </w:rPr>
            <w:t>3.1 分析框架</w:t>
          </w:r>
          <w:r>
            <w:rPr>
              <w:sz w:val="24"/>
              <w:szCs w:val="24"/>
            </w:rPr>
            <w:tab/>
          </w:r>
          <w:r>
            <w:rPr>
              <w:sz w:val="24"/>
              <w:szCs w:val="24"/>
            </w:rPr>
            <w:fldChar w:fldCharType="begin"/>
          </w:r>
          <w:r>
            <w:rPr>
              <w:sz w:val="24"/>
              <w:szCs w:val="24"/>
            </w:rPr>
            <w:instrText xml:space="preserve"> PAGEREF _Toc17870 \h </w:instrText>
          </w:r>
          <w:r>
            <w:rPr>
              <w:sz w:val="24"/>
              <w:szCs w:val="24"/>
            </w:rPr>
            <w:fldChar w:fldCharType="separate"/>
          </w:r>
          <w:r>
            <w:rPr>
              <w:sz w:val="24"/>
              <w:szCs w:val="24"/>
            </w:rPr>
            <w:t>5</w:t>
          </w:r>
          <w:r>
            <w:rPr>
              <w:sz w:val="24"/>
              <w:szCs w:val="24"/>
            </w:rPr>
            <w:fldChar w:fldCharType="end"/>
          </w:r>
          <w:r>
            <w:rPr>
              <w:sz w:val="24"/>
              <w:szCs w:val="24"/>
            </w:rPr>
            <w:fldChar w:fldCharType="end"/>
          </w:r>
        </w:p>
        <w:p w14:paraId="3F52A1DB">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_Toc16313 </w:instrText>
          </w:r>
          <w:r>
            <w:rPr>
              <w:sz w:val="24"/>
              <w:szCs w:val="24"/>
            </w:rPr>
            <w:fldChar w:fldCharType="separate"/>
          </w:r>
          <w:r>
            <w:rPr>
              <w:rFonts w:hint="eastAsia" w:asciiTheme="minorEastAsia" w:hAnsiTheme="minorEastAsia" w:eastAsiaTheme="minorEastAsia" w:cstheme="minorEastAsia"/>
              <w:sz w:val="24"/>
              <w:szCs w:val="24"/>
            </w:rPr>
            <w:t>3.2 数据收集与处理</w:t>
          </w:r>
          <w:r>
            <w:rPr>
              <w:sz w:val="24"/>
              <w:szCs w:val="24"/>
            </w:rPr>
            <w:tab/>
          </w:r>
          <w:r>
            <w:rPr>
              <w:sz w:val="24"/>
              <w:szCs w:val="24"/>
            </w:rPr>
            <w:fldChar w:fldCharType="begin"/>
          </w:r>
          <w:r>
            <w:rPr>
              <w:sz w:val="24"/>
              <w:szCs w:val="24"/>
            </w:rPr>
            <w:instrText xml:space="preserve"> PAGEREF _Toc16313 \h </w:instrText>
          </w:r>
          <w:r>
            <w:rPr>
              <w:sz w:val="24"/>
              <w:szCs w:val="24"/>
            </w:rPr>
            <w:fldChar w:fldCharType="separate"/>
          </w:r>
          <w:r>
            <w:rPr>
              <w:sz w:val="24"/>
              <w:szCs w:val="24"/>
            </w:rPr>
            <w:t>6</w:t>
          </w:r>
          <w:r>
            <w:rPr>
              <w:sz w:val="24"/>
              <w:szCs w:val="24"/>
            </w:rPr>
            <w:fldChar w:fldCharType="end"/>
          </w:r>
          <w:r>
            <w:rPr>
              <w:sz w:val="24"/>
              <w:szCs w:val="24"/>
            </w:rPr>
            <w:fldChar w:fldCharType="end"/>
          </w:r>
        </w:p>
        <w:p w14:paraId="4C98A031">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_Toc32741 </w:instrText>
          </w:r>
          <w:r>
            <w:rPr>
              <w:sz w:val="24"/>
              <w:szCs w:val="24"/>
            </w:rPr>
            <w:fldChar w:fldCharType="separate"/>
          </w:r>
          <w:r>
            <w:rPr>
              <w:rFonts w:hint="eastAsia" w:asciiTheme="minorEastAsia" w:hAnsiTheme="minorEastAsia" w:eastAsiaTheme="minorEastAsia" w:cstheme="minorEastAsia"/>
              <w:sz w:val="24"/>
              <w:szCs w:val="24"/>
              <w:lang w:val="en-US" w:eastAsia="zh-CN"/>
            </w:rPr>
            <w:t xml:space="preserve">四、 </w:t>
          </w:r>
          <w:r>
            <w:rPr>
              <w:rFonts w:hint="eastAsia" w:asciiTheme="minorEastAsia" w:hAnsiTheme="minorEastAsia" w:eastAsiaTheme="minorEastAsia" w:cstheme="minorEastAsia"/>
              <w:sz w:val="24"/>
              <w:szCs w:val="24"/>
            </w:rPr>
            <w:t>研究发现</w:t>
          </w:r>
          <w:r>
            <w:rPr>
              <w:rFonts w:hint="eastAsia" w:asciiTheme="minorEastAsia" w:hAnsiTheme="minorEastAsia" w:eastAsiaTheme="minorEastAsia" w:cstheme="minorEastAsia"/>
              <w:sz w:val="24"/>
              <w:szCs w:val="24"/>
              <w:lang w:val="en-US" w:eastAsia="zh-CN"/>
            </w:rPr>
            <w:t>:基于数据的传播效果分析</w:t>
          </w:r>
          <w:r>
            <w:rPr>
              <w:sz w:val="24"/>
              <w:szCs w:val="24"/>
            </w:rPr>
            <w:tab/>
          </w:r>
          <w:r>
            <w:rPr>
              <w:sz w:val="24"/>
              <w:szCs w:val="24"/>
            </w:rPr>
            <w:fldChar w:fldCharType="begin"/>
          </w:r>
          <w:r>
            <w:rPr>
              <w:sz w:val="24"/>
              <w:szCs w:val="24"/>
            </w:rPr>
            <w:instrText xml:space="preserve"> PAGEREF _Toc32741 \h </w:instrText>
          </w:r>
          <w:r>
            <w:rPr>
              <w:sz w:val="24"/>
              <w:szCs w:val="24"/>
            </w:rPr>
            <w:fldChar w:fldCharType="separate"/>
          </w:r>
          <w:r>
            <w:rPr>
              <w:sz w:val="24"/>
              <w:szCs w:val="24"/>
            </w:rPr>
            <w:t>9</w:t>
          </w:r>
          <w:r>
            <w:rPr>
              <w:sz w:val="24"/>
              <w:szCs w:val="24"/>
            </w:rPr>
            <w:fldChar w:fldCharType="end"/>
          </w:r>
          <w:r>
            <w:rPr>
              <w:sz w:val="24"/>
              <w:szCs w:val="24"/>
            </w:rPr>
            <w:fldChar w:fldCharType="end"/>
          </w:r>
        </w:p>
        <w:p w14:paraId="7955C444">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_Toc4618 </w:instrText>
          </w:r>
          <w:r>
            <w:rPr>
              <w:sz w:val="24"/>
              <w:szCs w:val="24"/>
            </w:rPr>
            <w:fldChar w:fldCharType="separate"/>
          </w:r>
          <w:r>
            <w:rPr>
              <w:rFonts w:hint="eastAsia" w:asciiTheme="minorEastAsia" w:hAnsiTheme="minorEastAsia" w:eastAsiaTheme="minorEastAsia" w:cstheme="minorEastAsia"/>
              <w:sz w:val="24"/>
              <w:szCs w:val="24"/>
            </w:rPr>
            <w:t>4.1 主题关注度分布：叙事类内容占绝对主导</w:t>
          </w:r>
          <w:r>
            <w:rPr>
              <w:sz w:val="24"/>
              <w:szCs w:val="24"/>
            </w:rPr>
            <w:tab/>
          </w:r>
          <w:r>
            <w:rPr>
              <w:sz w:val="24"/>
              <w:szCs w:val="24"/>
            </w:rPr>
            <w:fldChar w:fldCharType="begin"/>
          </w:r>
          <w:r>
            <w:rPr>
              <w:sz w:val="24"/>
              <w:szCs w:val="24"/>
            </w:rPr>
            <w:instrText xml:space="preserve"> PAGEREF _Toc4618 \h </w:instrText>
          </w:r>
          <w:r>
            <w:rPr>
              <w:sz w:val="24"/>
              <w:szCs w:val="24"/>
            </w:rPr>
            <w:fldChar w:fldCharType="separate"/>
          </w:r>
          <w:r>
            <w:rPr>
              <w:sz w:val="24"/>
              <w:szCs w:val="24"/>
            </w:rPr>
            <w:t>9</w:t>
          </w:r>
          <w:r>
            <w:rPr>
              <w:sz w:val="24"/>
              <w:szCs w:val="24"/>
            </w:rPr>
            <w:fldChar w:fldCharType="end"/>
          </w:r>
          <w:r>
            <w:rPr>
              <w:sz w:val="24"/>
              <w:szCs w:val="24"/>
            </w:rPr>
            <w:fldChar w:fldCharType="end"/>
          </w:r>
        </w:p>
        <w:p w14:paraId="484D18A0">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_Toc3661 </w:instrText>
          </w:r>
          <w:r>
            <w:rPr>
              <w:sz w:val="24"/>
              <w:szCs w:val="24"/>
            </w:rPr>
            <w:fldChar w:fldCharType="separate"/>
          </w:r>
          <w:r>
            <w:rPr>
              <w:sz w:val="24"/>
              <w:szCs w:val="24"/>
            </w:rPr>
            <w:t>4.2 情感效果差异：文旅融合体验主题正面率最高</w:t>
          </w:r>
          <w:r>
            <w:rPr>
              <w:sz w:val="24"/>
              <w:szCs w:val="24"/>
            </w:rPr>
            <w:tab/>
          </w:r>
          <w:r>
            <w:rPr>
              <w:sz w:val="24"/>
              <w:szCs w:val="24"/>
            </w:rPr>
            <w:fldChar w:fldCharType="begin"/>
          </w:r>
          <w:r>
            <w:rPr>
              <w:sz w:val="24"/>
              <w:szCs w:val="24"/>
            </w:rPr>
            <w:instrText xml:space="preserve"> PAGEREF _Toc3661 \h </w:instrText>
          </w:r>
          <w:r>
            <w:rPr>
              <w:sz w:val="24"/>
              <w:szCs w:val="24"/>
            </w:rPr>
            <w:fldChar w:fldCharType="separate"/>
          </w:r>
          <w:r>
            <w:rPr>
              <w:sz w:val="24"/>
              <w:szCs w:val="24"/>
            </w:rPr>
            <w:t>11</w:t>
          </w:r>
          <w:r>
            <w:rPr>
              <w:sz w:val="24"/>
              <w:szCs w:val="24"/>
            </w:rPr>
            <w:fldChar w:fldCharType="end"/>
          </w:r>
          <w:r>
            <w:rPr>
              <w:sz w:val="24"/>
              <w:szCs w:val="24"/>
            </w:rPr>
            <w:fldChar w:fldCharType="end"/>
          </w:r>
        </w:p>
        <w:p w14:paraId="01FA7CEE">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_Toc16742 </w:instrText>
          </w:r>
          <w:r>
            <w:rPr>
              <w:sz w:val="24"/>
              <w:szCs w:val="24"/>
            </w:rPr>
            <w:fldChar w:fldCharType="separate"/>
          </w:r>
          <w:r>
            <w:rPr>
              <w:sz w:val="24"/>
              <w:szCs w:val="24"/>
            </w:rPr>
            <w:t>4.3 深度情感与行为转化：叙事类主题更易激发深度反馈</w:t>
          </w:r>
          <w:r>
            <w:rPr>
              <w:sz w:val="24"/>
              <w:szCs w:val="24"/>
            </w:rPr>
            <w:tab/>
          </w:r>
          <w:r>
            <w:rPr>
              <w:sz w:val="24"/>
              <w:szCs w:val="24"/>
            </w:rPr>
            <w:fldChar w:fldCharType="begin"/>
          </w:r>
          <w:r>
            <w:rPr>
              <w:sz w:val="24"/>
              <w:szCs w:val="24"/>
            </w:rPr>
            <w:instrText xml:space="preserve"> PAGEREF _Toc16742 \h </w:instrText>
          </w:r>
          <w:r>
            <w:rPr>
              <w:sz w:val="24"/>
              <w:szCs w:val="24"/>
            </w:rPr>
            <w:fldChar w:fldCharType="separate"/>
          </w:r>
          <w:r>
            <w:rPr>
              <w:sz w:val="24"/>
              <w:szCs w:val="24"/>
            </w:rPr>
            <w:t>14</w:t>
          </w:r>
          <w:r>
            <w:rPr>
              <w:sz w:val="24"/>
              <w:szCs w:val="24"/>
            </w:rPr>
            <w:fldChar w:fldCharType="end"/>
          </w:r>
          <w:r>
            <w:rPr>
              <w:sz w:val="24"/>
              <w:szCs w:val="24"/>
            </w:rPr>
            <w:fldChar w:fldCharType="end"/>
          </w:r>
        </w:p>
        <w:p w14:paraId="13D095E5">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_Toc12452 </w:instrText>
          </w:r>
          <w:r>
            <w:rPr>
              <w:sz w:val="24"/>
              <w:szCs w:val="24"/>
            </w:rPr>
            <w:fldChar w:fldCharType="separate"/>
          </w:r>
          <w:r>
            <w:rPr>
              <w:sz w:val="24"/>
              <w:szCs w:val="24"/>
            </w:rPr>
            <w:t>4.4 传播深度层次：主题间差异显著（表 4、图 6）</w:t>
          </w:r>
          <w:r>
            <w:rPr>
              <w:sz w:val="24"/>
              <w:szCs w:val="24"/>
            </w:rPr>
            <w:tab/>
          </w:r>
          <w:r>
            <w:rPr>
              <w:sz w:val="24"/>
              <w:szCs w:val="24"/>
            </w:rPr>
            <w:fldChar w:fldCharType="begin"/>
          </w:r>
          <w:r>
            <w:rPr>
              <w:sz w:val="24"/>
              <w:szCs w:val="24"/>
            </w:rPr>
            <w:instrText xml:space="preserve"> PAGEREF _Toc12452 \h </w:instrText>
          </w:r>
          <w:r>
            <w:rPr>
              <w:sz w:val="24"/>
              <w:szCs w:val="24"/>
            </w:rPr>
            <w:fldChar w:fldCharType="separate"/>
          </w:r>
          <w:r>
            <w:rPr>
              <w:sz w:val="24"/>
              <w:szCs w:val="24"/>
            </w:rPr>
            <w:t>16</w:t>
          </w:r>
          <w:r>
            <w:rPr>
              <w:sz w:val="24"/>
              <w:szCs w:val="24"/>
            </w:rPr>
            <w:fldChar w:fldCharType="end"/>
          </w:r>
          <w:r>
            <w:rPr>
              <w:sz w:val="24"/>
              <w:szCs w:val="24"/>
            </w:rPr>
            <w:fldChar w:fldCharType="end"/>
          </w:r>
        </w:p>
        <w:p w14:paraId="42711A96">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_Toc2238 </w:instrText>
          </w:r>
          <w:r>
            <w:rPr>
              <w:sz w:val="24"/>
              <w:szCs w:val="24"/>
            </w:rPr>
            <w:fldChar w:fldCharType="separate"/>
          </w:r>
          <w:r>
            <w:rPr>
              <w:rFonts w:hint="eastAsia"/>
              <w:sz w:val="24"/>
              <w:szCs w:val="24"/>
            </w:rPr>
            <w:t xml:space="preserve">五、 </w:t>
          </w:r>
          <w:r>
            <w:rPr>
              <w:sz w:val="24"/>
              <w:szCs w:val="24"/>
            </w:rPr>
            <w:t>讨论：传播效果差异的原因与优化路径</w:t>
          </w:r>
          <w:r>
            <w:rPr>
              <w:sz w:val="24"/>
              <w:szCs w:val="24"/>
            </w:rPr>
            <w:tab/>
          </w:r>
          <w:r>
            <w:rPr>
              <w:sz w:val="24"/>
              <w:szCs w:val="24"/>
            </w:rPr>
            <w:fldChar w:fldCharType="begin"/>
          </w:r>
          <w:r>
            <w:rPr>
              <w:sz w:val="24"/>
              <w:szCs w:val="24"/>
            </w:rPr>
            <w:instrText xml:space="preserve"> PAGEREF _Toc2238 \h </w:instrText>
          </w:r>
          <w:r>
            <w:rPr>
              <w:sz w:val="24"/>
              <w:szCs w:val="24"/>
            </w:rPr>
            <w:fldChar w:fldCharType="separate"/>
          </w:r>
          <w:r>
            <w:rPr>
              <w:sz w:val="24"/>
              <w:szCs w:val="24"/>
            </w:rPr>
            <w:t>17</w:t>
          </w:r>
          <w:r>
            <w:rPr>
              <w:sz w:val="24"/>
              <w:szCs w:val="24"/>
            </w:rPr>
            <w:fldChar w:fldCharType="end"/>
          </w:r>
          <w:r>
            <w:rPr>
              <w:sz w:val="24"/>
              <w:szCs w:val="24"/>
            </w:rPr>
            <w:fldChar w:fldCharType="end"/>
          </w:r>
        </w:p>
        <w:p w14:paraId="766DAA12">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_Toc4258 </w:instrText>
          </w:r>
          <w:r>
            <w:rPr>
              <w:sz w:val="24"/>
              <w:szCs w:val="24"/>
            </w:rPr>
            <w:fldChar w:fldCharType="separate"/>
          </w:r>
          <w:r>
            <w:rPr>
              <w:sz w:val="24"/>
              <w:szCs w:val="24"/>
            </w:rPr>
            <w:t>5.1 传播效果差异的核心原因</w:t>
          </w:r>
          <w:r>
            <w:rPr>
              <w:sz w:val="24"/>
              <w:szCs w:val="24"/>
            </w:rPr>
            <w:tab/>
          </w:r>
          <w:r>
            <w:rPr>
              <w:sz w:val="24"/>
              <w:szCs w:val="24"/>
            </w:rPr>
            <w:fldChar w:fldCharType="begin"/>
          </w:r>
          <w:r>
            <w:rPr>
              <w:sz w:val="24"/>
              <w:szCs w:val="24"/>
            </w:rPr>
            <w:instrText xml:space="preserve"> PAGEREF _Toc4258 \h </w:instrText>
          </w:r>
          <w:r>
            <w:rPr>
              <w:sz w:val="24"/>
              <w:szCs w:val="24"/>
            </w:rPr>
            <w:fldChar w:fldCharType="separate"/>
          </w:r>
          <w:r>
            <w:rPr>
              <w:sz w:val="24"/>
              <w:szCs w:val="24"/>
            </w:rPr>
            <w:t>17</w:t>
          </w:r>
          <w:r>
            <w:rPr>
              <w:sz w:val="24"/>
              <w:szCs w:val="24"/>
            </w:rPr>
            <w:fldChar w:fldCharType="end"/>
          </w:r>
          <w:r>
            <w:rPr>
              <w:sz w:val="24"/>
              <w:szCs w:val="24"/>
            </w:rPr>
            <w:fldChar w:fldCharType="end"/>
          </w:r>
        </w:p>
        <w:p w14:paraId="0386E54F">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_Toc848 </w:instrText>
          </w:r>
          <w:r>
            <w:rPr>
              <w:sz w:val="24"/>
              <w:szCs w:val="24"/>
            </w:rPr>
            <w:fldChar w:fldCharType="separate"/>
          </w:r>
          <w:r>
            <w:rPr>
              <w:sz w:val="24"/>
              <w:szCs w:val="24"/>
            </w:rPr>
            <w:t>5.2 游戏文化传播的优化路径</w:t>
          </w:r>
          <w:r>
            <w:rPr>
              <w:sz w:val="24"/>
              <w:szCs w:val="24"/>
            </w:rPr>
            <w:tab/>
          </w:r>
          <w:r>
            <w:rPr>
              <w:sz w:val="24"/>
              <w:szCs w:val="24"/>
            </w:rPr>
            <w:fldChar w:fldCharType="begin"/>
          </w:r>
          <w:r>
            <w:rPr>
              <w:sz w:val="24"/>
              <w:szCs w:val="24"/>
            </w:rPr>
            <w:instrText xml:space="preserve"> PAGEREF _Toc848 \h </w:instrText>
          </w:r>
          <w:r>
            <w:rPr>
              <w:sz w:val="24"/>
              <w:szCs w:val="24"/>
            </w:rPr>
            <w:fldChar w:fldCharType="separate"/>
          </w:r>
          <w:r>
            <w:rPr>
              <w:sz w:val="24"/>
              <w:szCs w:val="24"/>
            </w:rPr>
            <w:t>18</w:t>
          </w:r>
          <w:r>
            <w:rPr>
              <w:sz w:val="24"/>
              <w:szCs w:val="24"/>
            </w:rPr>
            <w:fldChar w:fldCharType="end"/>
          </w:r>
          <w:r>
            <w:rPr>
              <w:sz w:val="24"/>
              <w:szCs w:val="24"/>
            </w:rPr>
            <w:fldChar w:fldCharType="end"/>
          </w:r>
        </w:p>
        <w:p w14:paraId="496631DD">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_Toc7015 </w:instrText>
          </w:r>
          <w:r>
            <w:rPr>
              <w:sz w:val="24"/>
              <w:szCs w:val="24"/>
            </w:rPr>
            <w:fldChar w:fldCharType="separate"/>
          </w:r>
          <w:r>
            <w:rPr>
              <w:rFonts w:hint="eastAsia"/>
              <w:sz w:val="24"/>
              <w:szCs w:val="24"/>
            </w:rPr>
            <w:t xml:space="preserve">六、 </w:t>
          </w:r>
          <w:r>
            <w:rPr>
              <w:sz w:val="24"/>
              <w:szCs w:val="24"/>
            </w:rPr>
            <w:t>结论与局限</w:t>
          </w:r>
          <w:r>
            <w:rPr>
              <w:sz w:val="24"/>
              <w:szCs w:val="24"/>
            </w:rPr>
            <w:tab/>
          </w:r>
          <w:r>
            <w:rPr>
              <w:sz w:val="24"/>
              <w:szCs w:val="24"/>
            </w:rPr>
            <w:fldChar w:fldCharType="begin"/>
          </w:r>
          <w:r>
            <w:rPr>
              <w:sz w:val="24"/>
              <w:szCs w:val="24"/>
            </w:rPr>
            <w:instrText xml:space="preserve"> PAGEREF _Toc7015 \h </w:instrText>
          </w:r>
          <w:r>
            <w:rPr>
              <w:sz w:val="24"/>
              <w:szCs w:val="24"/>
            </w:rPr>
            <w:fldChar w:fldCharType="separate"/>
          </w:r>
          <w:r>
            <w:rPr>
              <w:sz w:val="24"/>
              <w:szCs w:val="24"/>
            </w:rPr>
            <w:t>19</w:t>
          </w:r>
          <w:r>
            <w:rPr>
              <w:sz w:val="24"/>
              <w:szCs w:val="24"/>
            </w:rPr>
            <w:fldChar w:fldCharType="end"/>
          </w:r>
          <w:r>
            <w:rPr>
              <w:sz w:val="24"/>
              <w:szCs w:val="24"/>
            </w:rPr>
            <w:fldChar w:fldCharType="end"/>
          </w:r>
        </w:p>
        <w:p w14:paraId="6C4D2014">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_Toc5422 </w:instrText>
          </w:r>
          <w:r>
            <w:rPr>
              <w:sz w:val="24"/>
              <w:szCs w:val="24"/>
            </w:rPr>
            <w:fldChar w:fldCharType="separate"/>
          </w:r>
          <w:r>
            <w:rPr>
              <w:sz w:val="24"/>
              <w:szCs w:val="24"/>
            </w:rPr>
            <w:t>6.1 研究结论</w:t>
          </w:r>
          <w:r>
            <w:rPr>
              <w:sz w:val="24"/>
              <w:szCs w:val="24"/>
            </w:rPr>
            <w:tab/>
          </w:r>
          <w:r>
            <w:rPr>
              <w:sz w:val="24"/>
              <w:szCs w:val="24"/>
            </w:rPr>
            <w:fldChar w:fldCharType="begin"/>
          </w:r>
          <w:r>
            <w:rPr>
              <w:sz w:val="24"/>
              <w:szCs w:val="24"/>
            </w:rPr>
            <w:instrText xml:space="preserve"> PAGEREF _Toc5422 \h </w:instrText>
          </w:r>
          <w:r>
            <w:rPr>
              <w:sz w:val="24"/>
              <w:szCs w:val="24"/>
            </w:rPr>
            <w:fldChar w:fldCharType="separate"/>
          </w:r>
          <w:r>
            <w:rPr>
              <w:sz w:val="24"/>
              <w:szCs w:val="24"/>
            </w:rPr>
            <w:t>19</w:t>
          </w:r>
          <w:r>
            <w:rPr>
              <w:sz w:val="24"/>
              <w:szCs w:val="24"/>
            </w:rPr>
            <w:fldChar w:fldCharType="end"/>
          </w:r>
          <w:r>
            <w:rPr>
              <w:sz w:val="24"/>
              <w:szCs w:val="24"/>
            </w:rPr>
            <w:fldChar w:fldCharType="end"/>
          </w:r>
        </w:p>
        <w:p w14:paraId="4ACE161A">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_Toc27240 </w:instrText>
          </w:r>
          <w:r>
            <w:rPr>
              <w:sz w:val="24"/>
              <w:szCs w:val="24"/>
            </w:rPr>
            <w:fldChar w:fldCharType="separate"/>
          </w:r>
          <w:r>
            <w:rPr>
              <w:sz w:val="24"/>
              <w:szCs w:val="24"/>
            </w:rPr>
            <w:t>6.2 研究局限与未来方向</w:t>
          </w:r>
          <w:r>
            <w:rPr>
              <w:sz w:val="24"/>
              <w:szCs w:val="24"/>
            </w:rPr>
            <w:tab/>
          </w:r>
          <w:r>
            <w:rPr>
              <w:sz w:val="24"/>
              <w:szCs w:val="24"/>
            </w:rPr>
            <w:fldChar w:fldCharType="begin"/>
          </w:r>
          <w:r>
            <w:rPr>
              <w:sz w:val="24"/>
              <w:szCs w:val="24"/>
            </w:rPr>
            <w:instrText xml:space="preserve"> PAGEREF _Toc27240 \h </w:instrText>
          </w:r>
          <w:r>
            <w:rPr>
              <w:sz w:val="24"/>
              <w:szCs w:val="24"/>
            </w:rPr>
            <w:fldChar w:fldCharType="separate"/>
          </w:r>
          <w:r>
            <w:rPr>
              <w:sz w:val="24"/>
              <w:szCs w:val="24"/>
            </w:rPr>
            <w:t>20</w:t>
          </w:r>
          <w:r>
            <w:rPr>
              <w:sz w:val="24"/>
              <w:szCs w:val="24"/>
            </w:rPr>
            <w:fldChar w:fldCharType="end"/>
          </w:r>
          <w:r>
            <w:rPr>
              <w:sz w:val="24"/>
              <w:szCs w:val="24"/>
            </w:rPr>
            <w:fldChar w:fldCharType="end"/>
          </w:r>
        </w:p>
        <w:p w14:paraId="6A330BA3">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_Toc18680 </w:instrText>
          </w:r>
          <w:r>
            <w:rPr>
              <w:sz w:val="24"/>
              <w:szCs w:val="24"/>
            </w:rPr>
            <w:fldChar w:fldCharType="separate"/>
          </w:r>
          <w:r>
            <w:rPr>
              <w:rFonts w:hint="eastAsia" w:asciiTheme="minorEastAsia" w:hAnsiTheme="minorEastAsia" w:eastAsiaTheme="minorEastAsia" w:cstheme="minorEastAsia"/>
              <w:sz w:val="24"/>
              <w:szCs w:val="24"/>
            </w:rPr>
            <w:t>参考文献</w:t>
          </w:r>
          <w:r>
            <w:rPr>
              <w:sz w:val="24"/>
              <w:szCs w:val="24"/>
            </w:rPr>
            <w:tab/>
          </w:r>
          <w:r>
            <w:rPr>
              <w:sz w:val="24"/>
              <w:szCs w:val="24"/>
            </w:rPr>
            <w:fldChar w:fldCharType="begin"/>
          </w:r>
          <w:r>
            <w:rPr>
              <w:sz w:val="24"/>
              <w:szCs w:val="24"/>
            </w:rPr>
            <w:instrText xml:space="preserve"> PAGEREF _Toc18680 \h </w:instrText>
          </w:r>
          <w:r>
            <w:rPr>
              <w:sz w:val="24"/>
              <w:szCs w:val="24"/>
            </w:rPr>
            <w:fldChar w:fldCharType="separate"/>
          </w:r>
          <w:r>
            <w:rPr>
              <w:sz w:val="24"/>
              <w:szCs w:val="24"/>
            </w:rPr>
            <w:t>20</w:t>
          </w:r>
          <w:r>
            <w:rPr>
              <w:sz w:val="24"/>
              <w:szCs w:val="24"/>
            </w:rPr>
            <w:fldChar w:fldCharType="end"/>
          </w:r>
          <w:r>
            <w:rPr>
              <w:sz w:val="24"/>
              <w:szCs w:val="24"/>
            </w:rPr>
            <w:fldChar w:fldCharType="end"/>
          </w:r>
        </w:p>
        <w:p w14:paraId="5415C216">
          <w:pPr>
            <w:rPr>
              <w:sz w:val="24"/>
              <w:szCs w:val="24"/>
            </w:rPr>
          </w:pPr>
          <w:r>
            <w:rPr>
              <w:sz w:val="24"/>
              <w:szCs w:val="24"/>
            </w:rPr>
            <w:fldChar w:fldCharType="end"/>
          </w:r>
        </w:p>
        <w:p w14:paraId="185BAAC7">
          <w:pPr>
            <w:rPr>
              <w:sz w:val="24"/>
              <w:szCs w:val="24"/>
            </w:rPr>
          </w:pPr>
          <w:r>
            <w:rPr>
              <w:sz w:val="24"/>
              <w:szCs w:val="24"/>
            </w:rPr>
            <w:br w:type="page"/>
          </w:r>
        </w:p>
      </w:sdtContent>
    </w:sdt>
    <w:p w14:paraId="386D6DE0">
      <w:pPr>
        <w:pStyle w:val="2"/>
        <w:keepNext w:val="0"/>
        <w:keepLines w:val="0"/>
        <w:widowControl/>
        <w:numPr>
          <w:ilvl w:val="0"/>
          <w:numId w:val="0"/>
        </w:numPr>
        <w:suppressLineNumbers w:val="0"/>
        <w:pBdr>
          <w:left w:val="none" w:color="auto" w:sz="0" w:space="0"/>
        </w:pBdr>
        <w:ind w:leftChars="0"/>
        <w:jc w:val="left"/>
        <w:rPr>
          <w:rFonts w:hint="eastAsia" w:asciiTheme="minorEastAsia" w:hAnsiTheme="minorEastAsia" w:eastAsiaTheme="minorEastAsia" w:cstheme="minorEastAsia"/>
        </w:rPr>
      </w:pPr>
      <w:bookmarkStart w:id="0" w:name="_Toc12092"/>
      <w:r>
        <w:rPr>
          <w:rFonts w:hint="eastAsia" w:asciiTheme="minorEastAsia" w:hAnsiTheme="minorEastAsia" w:eastAsiaTheme="minorEastAsia" w:cstheme="minorEastAsia"/>
        </w:rPr>
        <w:t>摘要</w:t>
      </w:r>
      <w:bookmarkEnd w:id="0"/>
    </w:p>
    <w:p w14:paraId="3D2BD10D">
      <w:pPr>
        <w:pStyle w:val="10"/>
        <w:keepNext w:val="0"/>
        <w:keepLines w:val="0"/>
        <w:widowControl/>
        <w:suppressLineNumbers w:val="0"/>
        <w:spacing w:before="0" w:beforeAutospacing="1" w:after="0" w:afterAutospacing="1"/>
        <w:ind w:left="0" w:righ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本文选取国风游戏《燕云十六声》作为研究案例，围绕 “游戏作为文化传播新载体的实际作用” 这一核心，爬取了 B 站平台 14 条核心相关视频下的 8899 条用户评论，搭建了 “认知 - 情感 - 行为 - 主体” 的四维分析框架，结合文本挖掘、情感分析等方法展开了实证研究。</w:t>
      </w:r>
    </w:p>
    <w:p w14:paraId="47B56E8A">
      <w:pPr>
        <w:pStyle w:val="10"/>
        <w:keepNext w:val="0"/>
        <w:keepLines w:val="0"/>
        <w:widowControl/>
        <w:suppressLineNumbers w:val="0"/>
        <w:spacing w:before="0" w:beforeAutospacing="1" w:after="0" w:afterAutospacing="1"/>
        <w:ind w:left="0" w:righ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研究中，我们将传播内容划分成 “文旅融合体验”“核心文化传承” 等 6 类主题，着重对比了不同主题在评论覆盖、情感倾向、行为转化上的差异。从结果来看：“文旅融合体验” 主题以 37.9% 的加权正面评价率成为传播效果最好的类别；“深度叙事解读” 主题的深度情感表达占比最高，达到 1.8%；“核心文化传承” 主题则在用户行为意向方面表现最优，这一比例为 9.8%。另外，6 类主题的样本量差距达到了 48.9 倍，这也体现出用户对不同文化传播内容的关注度存在明显差异。</w:t>
      </w:r>
    </w:p>
    <w:p w14:paraId="2190FE6B">
      <w:pPr>
        <w:pStyle w:val="10"/>
        <w:keepNext w:val="0"/>
        <w:keepLines w:val="0"/>
        <w:widowControl/>
        <w:suppressLineNumbers w:val="0"/>
        <w:spacing w:before="0" w:beforeAutospacing="1" w:after="0" w:afterAutospacing="1"/>
        <w:ind w:left="0" w:righ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本研究既能为游戏文化传播的主题优化、效果提升提供实际的数据支撑，也能为数字时代中华文化的传播实践提供策略层面的参考。</w:t>
      </w:r>
    </w:p>
    <w:p w14:paraId="38701884">
      <w:pPr>
        <w:pStyle w:val="10"/>
        <w:keepNext w:val="0"/>
        <w:keepLines w:val="0"/>
        <w:widowControl/>
        <w:suppressLineNumbers w:val="0"/>
        <w:spacing w:before="0" w:beforeAutospacing="1" w:after="0" w:afterAutospacing="1"/>
        <w:ind w:left="0" w:righ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关键词：游戏</w:t>
      </w:r>
      <w:r>
        <w:rPr>
          <w:rFonts w:hint="eastAsia" w:asciiTheme="minorEastAsia" w:hAnsiTheme="minorEastAsia" w:cstheme="minorEastAsia"/>
          <w:lang w:val="en-US" w:eastAsia="zh-CN"/>
        </w:rPr>
        <w:t>媒介</w:t>
      </w:r>
      <w:r>
        <w:rPr>
          <w:rFonts w:hint="eastAsia" w:asciiTheme="minorEastAsia" w:hAnsiTheme="minorEastAsia" w:eastAsiaTheme="minorEastAsia" w:cstheme="minorEastAsia"/>
        </w:rPr>
        <w:t>；文化传播；情感分析；</w:t>
      </w:r>
      <w:r>
        <w:rPr>
          <w:rFonts w:hint="eastAsia" w:asciiTheme="minorEastAsia" w:hAnsiTheme="minorEastAsia" w:cstheme="minorEastAsia"/>
          <w:lang w:val="en-US" w:eastAsia="zh-CN"/>
        </w:rPr>
        <w:t>bilibili平台</w:t>
      </w:r>
      <w:r>
        <w:rPr>
          <w:rFonts w:hint="eastAsia" w:asciiTheme="minorEastAsia" w:hAnsiTheme="minorEastAsia" w:eastAsiaTheme="minorEastAsia" w:cstheme="minorEastAsia"/>
        </w:rPr>
        <w:t>评论；《燕云十六声》；数字媒介</w:t>
      </w:r>
    </w:p>
    <w:p w14:paraId="07632913">
      <w:pPr>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page"/>
      </w:r>
    </w:p>
    <w:p w14:paraId="60B71A36">
      <w:pPr>
        <w:pStyle w:val="10"/>
        <w:keepNext w:val="0"/>
        <w:keepLines w:val="0"/>
        <w:widowControl/>
        <w:suppressLineNumbers w:val="0"/>
        <w:spacing w:before="0" w:beforeAutospacing="1" w:after="0" w:afterAutospacing="1"/>
        <w:ind w:left="0" w:right="0"/>
        <w:jc w:val="left"/>
        <w:rPr>
          <w:rFonts w:hint="eastAsia" w:asciiTheme="minorEastAsia" w:hAnsiTheme="minorEastAsia" w:eastAsiaTheme="minorEastAsia" w:cstheme="minorEastAsia"/>
        </w:rPr>
      </w:pPr>
    </w:p>
    <w:p w14:paraId="38DCD9DF">
      <w:pPr>
        <w:pStyle w:val="2"/>
        <w:keepNext w:val="0"/>
        <w:keepLines w:val="0"/>
        <w:widowControl/>
        <w:numPr>
          <w:ilvl w:val="0"/>
          <w:numId w:val="1"/>
        </w:numPr>
        <w:suppressLineNumbers w:val="0"/>
        <w:pBdr>
          <w:left w:val="none" w:color="auto" w:sz="0" w:space="0"/>
        </w:pBdr>
        <w:ind w:left="0" w:firstLine="0"/>
        <w:jc w:val="left"/>
        <w:rPr>
          <w:rFonts w:hint="eastAsia" w:asciiTheme="minorEastAsia" w:hAnsiTheme="minorEastAsia" w:eastAsiaTheme="minorEastAsia" w:cstheme="minorEastAsia"/>
        </w:rPr>
      </w:pPr>
      <w:bookmarkStart w:id="1" w:name="_Toc22172"/>
      <w:r>
        <w:rPr>
          <w:rFonts w:hint="eastAsia" w:asciiTheme="minorEastAsia" w:hAnsiTheme="minorEastAsia" w:eastAsiaTheme="minorEastAsia" w:cstheme="minorEastAsia"/>
        </w:rPr>
        <w:t>引言：游戏作为文化传播新媒介</w:t>
      </w:r>
      <w:bookmarkEnd w:id="1"/>
    </w:p>
    <w:p w14:paraId="14DBAA31">
      <w:pPr>
        <w:pStyle w:val="10"/>
        <w:keepNext w:val="0"/>
        <w:keepLines w:val="0"/>
        <w:widowControl/>
        <w:suppressLineNumbers w:val="0"/>
        <w:spacing w:before="0" w:beforeAutospacing="1" w:after="0" w:afterAutospacing="1"/>
        <w:ind w:left="0" w:righ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数字技术的迅猛发展，正不断拓展游戏的媒介价值——它早已跳出“单纯娱乐工具”的局限，逐步成长为承载与传播传统文化的重要载体。和博物馆、剧院等传统文化机构“单向灌输”的传播模式不同，游戏凭借沉浸式的场景搭建、强互动的玩法设计，再加上社群化的讨论氛围，能让用户以“参与者”而非“旁观者”的身份亲近文化内容。尤其在“Z世代”群体中，这种“亲身参与式”的体验，已成为他们构建文化认知、培育文化认同的全新路径。</w:t>
      </w:r>
    </w:p>
    <w:p w14:paraId="27D0E002">
      <w:pPr>
        <w:pStyle w:val="10"/>
        <w:keepNext w:val="0"/>
        <w:keepLines w:val="0"/>
        <w:widowControl/>
        <w:suppressLineNumbers w:val="0"/>
        <w:spacing w:before="0" w:beforeAutospacing="1" w:after="0" w:afterAutospacing="1"/>
        <w:ind w:left="0" w:righ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以五代十国与宋初历史为背景的国产国风游戏《燕云十六声》，正是“游戏+文化”融合的典型代表。其开发团队将敦煌艺术、古代乐舞、历史地理等多元文化元素，深度嵌入游戏叙事、场景建模与核心玩法之中；同时通过B站持续推送剧情解读、幕后制作、文旅联动等多样化视频内容，最终形成“游戏内容产出—平台传播扩散—文化价值输出”的完整链路，为观察游戏文化传播的实践效果提供了绝佳样本。</w:t>
      </w:r>
    </w:p>
    <w:p w14:paraId="04B1B1A3">
      <w:pPr>
        <w:pStyle w:val="10"/>
        <w:keepNext w:val="0"/>
        <w:keepLines w:val="0"/>
        <w:widowControl/>
        <w:suppressLineNumbers w:val="0"/>
        <w:spacing w:before="0" w:beforeAutospacing="1" w:after="0" w:afterAutospacing="1"/>
        <w:ind w:left="0" w:righ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不过</w:t>
      </w:r>
      <w:r>
        <w:rPr>
          <w:rFonts w:hint="eastAsia" w:asciiTheme="minorEastAsia" w:hAnsiTheme="minorEastAsia" w:cstheme="minorEastAsia"/>
          <w:lang w:eastAsia="zh-CN"/>
        </w:rPr>
        <w:t>，</w:t>
      </w:r>
      <w:r>
        <w:rPr>
          <w:rFonts w:hint="eastAsia" w:asciiTheme="minorEastAsia" w:hAnsiTheme="minorEastAsia" w:eastAsiaTheme="minorEastAsia" w:cstheme="minorEastAsia"/>
        </w:rPr>
        <w:t>目前学界对游戏文化传播的研究，大多停留在理论探讨或单一主题分析层面，针对“不同传播主题效果差异”的系统性实证研究相对匮乏。比如用户对“文旅联动”与“技术复原文化”两类主题的反馈是否存在区别？哪些主题更能激发用户的深度情感共鸣，又有哪些主题更易转化为用户的实际行动意愿？基于这些研究缺口，本研究以《燕云十六声》的B站评论数据为依托，将其传播主题细分为6大类，通过量化分析解答上述问题，以期为游戏文化传播的主题选择与策略优化提供实证参考。</w:t>
      </w:r>
    </w:p>
    <w:p w14:paraId="10085E1A">
      <w:pPr>
        <w:pStyle w:val="2"/>
        <w:keepNext w:val="0"/>
        <w:keepLines w:val="0"/>
        <w:widowControl/>
        <w:numPr>
          <w:ilvl w:val="0"/>
          <w:numId w:val="1"/>
        </w:numPr>
        <w:suppressLineNumbers w:val="0"/>
        <w:pBdr>
          <w:left w:val="none" w:color="auto" w:sz="0" w:space="0"/>
        </w:pBdr>
        <w:ind w:left="0" w:leftChars="0" w:firstLine="0" w:firstLineChars="0"/>
        <w:jc w:val="left"/>
        <w:rPr>
          <w:rFonts w:hint="eastAsia" w:asciiTheme="minorEastAsia" w:hAnsiTheme="minorEastAsia" w:eastAsiaTheme="minorEastAsia" w:cstheme="minorEastAsia"/>
        </w:rPr>
      </w:pPr>
      <w:bookmarkStart w:id="2" w:name="_Toc3071"/>
      <w:r>
        <w:rPr>
          <w:rFonts w:hint="eastAsia" w:asciiTheme="minorEastAsia" w:hAnsiTheme="minorEastAsia" w:eastAsiaTheme="minorEastAsia" w:cstheme="minorEastAsia"/>
        </w:rPr>
        <w:t>文献综述：数字时代的文化传播理论</w:t>
      </w:r>
      <w:bookmarkEnd w:id="2"/>
    </w:p>
    <w:p w14:paraId="0C570608">
      <w:pPr>
        <w:pStyle w:val="10"/>
        <w:keepNext w:val="0"/>
        <w:keepLines w:val="0"/>
        <w:widowControl/>
        <w:suppressLineNumbers w:val="0"/>
        <w:spacing w:before="0" w:beforeAutospacing="1" w:after="0" w:afterAutospacing="1"/>
        <w:ind w:left="0" w:righ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本研究以《燕云十六声》为案例，探究其作为文化传播新媒介的效果。为奠定研究的理论基础，本部分将先梳理文化传播理论的数字化发展趋势，再聚焦游戏作为传播载体的独特价值，最后回顾评估传播效果的文本分析方法，并指出现有研究存在的空白。</w:t>
      </w:r>
    </w:p>
    <w:p w14:paraId="7A01171E">
      <w:pPr>
        <w:pStyle w:val="3"/>
        <w:numPr>
          <w:ilvl w:val="0"/>
          <w:numId w:val="0"/>
        </w:numPr>
        <w:bidi w:val="0"/>
        <w:ind w:leftChars="0"/>
        <w:rPr>
          <w:rFonts w:hint="eastAsia"/>
        </w:rPr>
      </w:pPr>
      <w:bookmarkStart w:id="3" w:name="_Toc23677"/>
      <w:r>
        <w:rPr>
          <w:rFonts w:hint="eastAsia"/>
        </w:rPr>
        <w:t>2.1 文化传播的数字化转向与媒介演进</w:t>
      </w:r>
      <w:bookmarkEnd w:id="3"/>
    </w:p>
    <w:p w14:paraId="6C3013F2">
      <w:pPr>
        <w:pStyle w:val="10"/>
        <w:keepNext w:val="0"/>
        <w:keepLines w:val="0"/>
        <w:widowControl/>
        <w:suppressLineNumbers w:val="0"/>
        <w:spacing w:before="0" w:beforeAutospacing="1" w:after="0" w:afterAutospacing="1"/>
        <w:ind w:left="0" w:righ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传统文化传播研究多集中于博物馆、文化遗产地、学校教育等官方或实体渠道。但数字媒体的兴起彻底改变了文化传播的生态，B站、YouTube等社交媒体平台已成为文化传播与交流的重要新场所。有研究通过分析YouTube上李子柒的视频评论发现，以日常生活叙事和视觉化表达为特点的个体化传播，在引发跨文化情感共鸣方面具有巨大潜力，其成功关键在于触及了“人与自然和谐共生”等人类共通的价值观，这为理解数字平台的文化传播机制提供了重要视角</w:t>
      </w:r>
      <w:r>
        <w:rPr>
          <w:rFonts w:hint="eastAsia" w:asciiTheme="minorEastAsia" w:hAnsiTheme="minorEastAsia" w:cstheme="minorEastAsia"/>
          <w:lang w:val="en-US" w:eastAsia="zh-CN"/>
        </w:rPr>
        <w:t>[6]</w:t>
      </w:r>
      <w:r>
        <w:rPr>
          <w:rFonts w:hint="eastAsia" w:asciiTheme="minorEastAsia" w:hAnsiTheme="minorEastAsia" w:eastAsiaTheme="minorEastAsia" w:cstheme="minorEastAsia"/>
        </w:rPr>
        <w:t>。</w:t>
      </w:r>
    </w:p>
    <w:p w14:paraId="0BD21C6B">
      <w:pPr>
        <w:pStyle w:val="10"/>
        <w:keepNext w:val="0"/>
        <w:keepLines w:val="0"/>
        <w:widowControl/>
        <w:suppressLineNumbers w:val="0"/>
        <w:spacing w:before="0" w:beforeAutospacing="1" w:after="0" w:afterAutospacing="1"/>
        <w:ind w:left="0" w:righ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与此同时，传统文化的传播模式在数字时代也经历着深刻的“IP化”转型。有研究以北京故宫博物院为例，系统阐述了“互联网+”背景下，传统文化如何通过娱乐化表达、互动性产品和全媒体渠道，成功吸引年轻受众并实现文化价值的现代转化</w:t>
      </w:r>
      <w:r>
        <w:rPr>
          <w:rFonts w:hint="eastAsia" w:asciiTheme="minorEastAsia" w:hAnsiTheme="minorEastAsia" w:cstheme="minorEastAsia"/>
          <w:lang w:val="en-US" w:eastAsia="zh-CN"/>
        </w:rPr>
        <w:t>[8]</w:t>
      </w:r>
      <w:r>
        <w:rPr>
          <w:rFonts w:hint="eastAsia" w:asciiTheme="minorEastAsia" w:hAnsiTheme="minorEastAsia" w:eastAsiaTheme="minorEastAsia" w:cstheme="minorEastAsia"/>
        </w:rPr>
        <w:t>。故宫的案例表明，文化传播不再是单向的知识灌输，而是以受众为中心、强调情感沟通与价值认同的互动过程。这种从“宣教”到“对话”的范式转变，是本研究开展的核心背景。</w:t>
      </w:r>
    </w:p>
    <w:p w14:paraId="51051B9A">
      <w:pPr>
        <w:pStyle w:val="3"/>
        <w:keepNext w:val="0"/>
        <w:keepLines w:val="0"/>
        <w:widowControl/>
        <w:numPr>
          <w:ilvl w:val="0"/>
          <w:numId w:val="0"/>
        </w:numPr>
        <w:suppressLineNumbers w:val="0"/>
        <w:pBdr>
          <w:left w:val="none" w:color="auto" w:sz="0" w:space="0"/>
        </w:pBdr>
        <w:ind w:leftChars="0"/>
        <w:jc w:val="left"/>
        <w:rPr>
          <w:rFonts w:hint="eastAsia" w:asciiTheme="minorEastAsia" w:hAnsiTheme="minorEastAsia" w:eastAsiaTheme="minorEastAsia" w:cstheme="minorEastAsia"/>
        </w:rPr>
      </w:pPr>
      <w:bookmarkStart w:id="4" w:name="_Toc32638"/>
      <w:r>
        <w:rPr>
          <w:rFonts w:hint="eastAsia" w:asciiTheme="minorEastAsia" w:hAnsiTheme="minorEastAsia" w:eastAsiaTheme="minorEastAsia" w:cstheme="minorEastAsia"/>
        </w:rPr>
        <w:t>2.2 游戏作为文化传播的“活化”媒介</w:t>
      </w:r>
      <w:bookmarkEnd w:id="4"/>
    </w:p>
    <w:p w14:paraId="35824364">
      <w:pPr>
        <w:pStyle w:val="10"/>
        <w:keepNext w:val="0"/>
        <w:keepLines w:val="0"/>
        <w:widowControl/>
        <w:suppressLineNumbers w:val="0"/>
        <w:spacing w:before="0" w:beforeAutospacing="1" w:after="0" w:afterAutospacing="1"/>
        <w:ind w:left="0" w:righ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在各类数字传播渠道里，游戏凭借沉浸式体验、高互动性与社群联结属性，常被视作文化传播的优质载体之一。有学者以《王者荣耀》为具体案例，分析了这类手机游戏如何通过塑造多元的品牌文化（比如团战文化、电竞赛事文化），搭配跨界联动的传播方式来深化用户认同；这一研究也指出，游戏的价值不止于休闲娱乐，更能成为承载文化体验、串联社交关系的重要纽带</w:t>
      </w:r>
      <w:r>
        <w:rPr>
          <w:rFonts w:hint="eastAsia" w:asciiTheme="minorEastAsia" w:hAnsiTheme="minorEastAsia" w:cstheme="minorEastAsia"/>
          <w:lang w:val="en-US" w:eastAsia="zh-CN"/>
        </w:rPr>
        <w:t>[10]</w:t>
      </w:r>
      <w:r>
        <w:rPr>
          <w:rFonts w:hint="eastAsia" w:asciiTheme="minorEastAsia" w:hAnsiTheme="minorEastAsia" w:eastAsiaTheme="minorEastAsia" w:cstheme="minorEastAsia"/>
        </w:rPr>
        <w:t>。</w:t>
      </w:r>
    </w:p>
    <w:p w14:paraId="2C2440E3">
      <w:pPr>
        <w:pStyle w:val="10"/>
        <w:keepNext w:val="0"/>
        <w:keepLines w:val="0"/>
        <w:widowControl/>
        <w:suppressLineNumbers w:val="0"/>
        <w:spacing w:before="0" w:beforeAutospacing="1" w:after="0" w:afterAutospacing="1"/>
        <w:ind w:left="0" w:righ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但现有关于游戏与文化传播的研究，大多从品牌传播或营销策略的视角切入，或集中于游戏内文化符号的简单呈现。对于游戏官方通过剧情分析、幕后制作、公益活动等多元化视频内容主动进行的系统性文化传播，其效果如何？文脉传承、科技赋能、社会责任等不同传播主题会引发用户怎样不同的认知、情感和行为反应？目前还缺乏细致深入的实证研究。本研究旨在填补这一空白，深入剖析游戏作为综合性文化传播平台的内在机制。</w:t>
      </w:r>
    </w:p>
    <w:p w14:paraId="1E0F0FA2">
      <w:pPr>
        <w:pStyle w:val="3"/>
        <w:keepNext w:val="0"/>
        <w:keepLines w:val="0"/>
        <w:widowControl/>
        <w:numPr>
          <w:ilvl w:val="0"/>
          <w:numId w:val="0"/>
        </w:numPr>
        <w:suppressLineNumbers w:val="0"/>
        <w:pBdr>
          <w:left w:val="none" w:color="auto" w:sz="0" w:space="0"/>
        </w:pBdr>
        <w:ind w:leftChars="0"/>
        <w:jc w:val="left"/>
        <w:rPr>
          <w:rFonts w:hint="eastAsia" w:asciiTheme="minorEastAsia" w:hAnsiTheme="minorEastAsia" w:eastAsiaTheme="minorEastAsia" w:cstheme="minorEastAsia"/>
        </w:rPr>
      </w:pPr>
      <w:bookmarkStart w:id="5" w:name="_Toc26041"/>
      <w:r>
        <w:rPr>
          <w:rFonts w:hint="eastAsia" w:asciiTheme="minorEastAsia" w:hAnsiTheme="minorEastAsia" w:eastAsiaTheme="minorEastAsia" w:cstheme="minorEastAsia"/>
        </w:rPr>
        <w:t>2.3 传播效果的测量：从情感分析到行为意向</w:t>
      </w:r>
      <w:bookmarkEnd w:id="5"/>
    </w:p>
    <w:p w14:paraId="302CBC3C">
      <w:pPr>
        <w:pStyle w:val="10"/>
        <w:keepNext w:val="0"/>
        <w:keepLines w:val="0"/>
        <w:widowControl/>
        <w:suppressLineNumbers w:val="0"/>
        <w:spacing w:before="0" w:beforeAutospacing="1" w:after="0" w:afterAutospacing="1"/>
        <w:ind w:left="0" w:righ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要科学评估文化传播效果，离不开对用户反馈数据的精准测量。在情感分析方面，有研究指出通用情感词典在分析中文社交媒体等特定领域文本时存在局限性，并验证了融合点互信息（PMI）与词向量（Word2Vec）方法构建领域情感词典的有效性</w:t>
      </w:r>
      <w:r>
        <w:rPr>
          <w:rFonts w:hint="eastAsia" w:asciiTheme="minorEastAsia" w:hAnsiTheme="minorEastAsia" w:cstheme="minorEastAsia"/>
          <w:lang w:val="en-US" w:eastAsia="zh-CN"/>
        </w:rPr>
        <w:t>[1]</w:t>
      </w:r>
      <w:r>
        <w:rPr>
          <w:rFonts w:hint="eastAsia" w:asciiTheme="minorEastAsia" w:hAnsiTheme="minorEastAsia" w:eastAsiaTheme="minorEastAsia" w:cstheme="minorEastAsia"/>
        </w:rPr>
        <w:t>。还有研究进一步构建了金融领域的专用情绪词典，证明了适配特定领域的词典在提升分析准确性上的重要作用</w:t>
      </w:r>
      <w:r>
        <w:rPr>
          <w:rFonts w:hint="eastAsia" w:asciiTheme="minorEastAsia" w:hAnsiTheme="minorEastAsia" w:cstheme="minorEastAsia"/>
          <w:lang w:val="en-US" w:eastAsia="zh-CN"/>
        </w:rPr>
        <w:t>[5]</w:t>
      </w:r>
      <w:r>
        <w:rPr>
          <w:rFonts w:hint="eastAsia" w:asciiTheme="minorEastAsia" w:hAnsiTheme="minorEastAsia" w:eastAsiaTheme="minorEastAsia" w:cstheme="minorEastAsia"/>
        </w:rPr>
        <w:t>。这些方法为本次研究对B站评论进行情感分析提供了有益的方法论借鉴。</w:t>
      </w:r>
    </w:p>
    <w:p w14:paraId="55869BDD">
      <w:pPr>
        <w:pStyle w:val="10"/>
        <w:keepNext w:val="0"/>
        <w:keepLines w:val="0"/>
        <w:widowControl/>
        <w:suppressLineNumbers w:val="0"/>
        <w:spacing w:before="0" w:beforeAutospacing="1" w:after="0" w:afterAutospacing="1"/>
        <w:ind w:left="0" w:righ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除了基础的情感极性（正面/负面）分析，要获得更深入的用户洞察，还需要挖掘用户具体的情感倾向和行为意向。有研究对网红品牌“喜茶”的社交媒体内容进行分析，通过文本挖掘将消费者细分为五类，并识别出每类人群的独特情感（如“被‘种草’的潜在消费者”的“期待”、“忠实消费者”的“自豪”）</w:t>
      </w:r>
      <w:r>
        <w:rPr>
          <w:rFonts w:hint="eastAsia" w:asciiTheme="minorEastAsia" w:hAnsiTheme="minorEastAsia" w:cstheme="minorEastAsia"/>
          <w:lang w:val="en-US" w:eastAsia="zh-CN"/>
        </w:rPr>
        <w:t>[4]</w:t>
      </w:r>
      <w:r>
        <w:rPr>
          <w:rFonts w:hint="eastAsia" w:asciiTheme="minorEastAsia" w:hAnsiTheme="minorEastAsia" w:eastAsiaTheme="minorEastAsia" w:cstheme="minorEastAsia"/>
        </w:rPr>
        <w:t>。这种基于情感和行为的用户细分思路，直接启发了本研究对“文化自豪感”“赞美认同”等深度情感，以及“旅游意愿”“二次创作”等行为意向的分类考察。</w:t>
      </w:r>
    </w:p>
    <w:p w14:paraId="6B710973">
      <w:pPr>
        <w:pStyle w:val="3"/>
        <w:keepNext w:val="0"/>
        <w:keepLines w:val="0"/>
        <w:widowControl/>
        <w:numPr>
          <w:ilvl w:val="0"/>
          <w:numId w:val="0"/>
        </w:numPr>
        <w:suppressLineNumbers w:val="0"/>
        <w:pBdr>
          <w:left w:val="none" w:color="auto" w:sz="0" w:space="0"/>
        </w:pBdr>
        <w:ind w:leftChars="0"/>
        <w:jc w:val="left"/>
        <w:rPr>
          <w:rFonts w:hint="eastAsia" w:asciiTheme="minorEastAsia" w:hAnsiTheme="minorEastAsia" w:eastAsiaTheme="minorEastAsia" w:cstheme="minorEastAsia"/>
        </w:rPr>
      </w:pPr>
      <w:bookmarkStart w:id="6" w:name="_Toc24383"/>
      <w:r>
        <w:rPr>
          <w:rFonts w:hint="eastAsia" w:asciiTheme="minorEastAsia" w:hAnsiTheme="minorEastAsia" w:eastAsiaTheme="minorEastAsia" w:cstheme="minorEastAsia"/>
        </w:rPr>
        <w:t>2.4 传播主体与社群互动的影响</w:t>
      </w:r>
      <w:bookmarkEnd w:id="6"/>
    </w:p>
    <w:p w14:paraId="4A33E1BF">
      <w:pPr>
        <w:pStyle w:val="10"/>
        <w:keepNext w:val="0"/>
        <w:keepLines w:val="0"/>
        <w:widowControl/>
        <w:suppressLineNumbers w:val="0"/>
        <w:spacing w:before="0" w:beforeAutospacing="1" w:after="0" w:afterAutospacing="1"/>
        <w:ind w:left="0" w:righ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数字时代的文化传播是多元主体共同构建的过程。有博士论文系统研究了社交媒体中用户互动的机制，区分了微信（强关系）和微博（弱关系）平台的不同互动模式与关系网络结构，指出议题设置和信息分发机制是影响B站等弱关系平台互动效果的关键因素</w:t>
      </w:r>
      <w:r>
        <w:rPr>
          <w:rFonts w:hint="eastAsia" w:asciiTheme="minorEastAsia" w:hAnsiTheme="minorEastAsia" w:cstheme="minorEastAsia"/>
          <w:lang w:val="en-US" w:eastAsia="zh-CN"/>
        </w:rPr>
        <w:t>[9]</w:t>
      </w:r>
      <w:r>
        <w:rPr>
          <w:rFonts w:hint="eastAsia" w:asciiTheme="minorEastAsia" w:hAnsiTheme="minorEastAsia" w:eastAsiaTheme="minorEastAsia" w:cstheme="minorEastAsia"/>
        </w:rPr>
        <w:t>。这提示我们，在游戏社群中，官方与个人账号作为不同的传播主体，可能会因为自身角色和内容呈现方式的差异，引导评论区形成截然不同的讨论重点和互动生态。但现有研究尚未在游戏文化传播这一具体场景下，对官方与个人账号的传播效果进行系统的对比分析。</w:t>
      </w:r>
    </w:p>
    <w:p w14:paraId="068B186D">
      <w:pPr>
        <w:pStyle w:val="3"/>
        <w:keepNext w:val="0"/>
        <w:keepLines w:val="0"/>
        <w:widowControl/>
        <w:numPr>
          <w:ilvl w:val="0"/>
          <w:numId w:val="0"/>
        </w:numPr>
        <w:suppressLineNumbers w:val="0"/>
        <w:pBdr>
          <w:left w:val="none" w:color="auto" w:sz="0" w:space="0"/>
        </w:pBdr>
        <w:ind w:leftChars="0"/>
        <w:jc w:val="left"/>
        <w:rPr>
          <w:rFonts w:hint="eastAsia" w:asciiTheme="minorEastAsia" w:hAnsiTheme="minorEastAsia" w:eastAsiaTheme="minorEastAsia" w:cstheme="minorEastAsia"/>
        </w:rPr>
      </w:pPr>
      <w:bookmarkStart w:id="7" w:name="_Toc24634"/>
      <w:r>
        <w:rPr>
          <w:rFonts w:hint="eastAsia" w:asciiTheme="minorEastAsia" w:hAnsiTheme="minorEastAsia" w:eastAsiaTheme="minorEastAsia" w:cstheme="minorEastAsia"/>
        </w:rPr>
        <w:t>2.5 研究空白与本研究的定位</w:t>
      </w:r>
      <w:bookmarkEnd w:id="7"/>
    </w:p>
    <w:p w14:paraId="79FD1B20">
      <w:pPr>
        <w:pStyle w:val="10"/>
        <w:keepNext w:val="0"/>
        <w:keepLines w:val="0"/>
        <w:widowControl/>
        <w:suppressLineNumbers w:val="0"/>
        <w:spacing w:before="0" w:beforeAutospacing="1" w:after="0" w:afterAutospacing="1"/>
        <w:ind w:left="0" w:righ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综合来看，现有研究已为数字时代的文化传播提供了丰富的理论视角与方法工具，但仍存在以下空白：</w:t>
      </w:r>
    </w:p>
    <w:p w14:paraId="05FCF9B4">
      <w:pPr>
        <w:keepNext w:val="0"/>
        <w:keepLines w:val="0"/>
        <w:widowControl/>
        <w:numPr>
          <w:ilvl w:val="0"/>
          <w:numId w:val="2"/>
        </w:numPr>
        <w:suppressLineNumbers w:val="0"/>
        <w:pBdr>
          <w:left w:val="none" w:color="auto" w:sz="0" w:space="0"/>
        </w:pBdr>
        <w:spacing w:before="0" w:beforeAutospacing="1" w:after="0" w:afterAutospacing="1"/>
        <w:ind w:left="720" w:hanging="294"/>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研究对象上，多数研究关注短视频、社交媒体博主或游戏内的文化元素，缺乏对游戏官方系统性外延文化传播内容的效果检验；</w:t>
      </w:r>
    </w:p>
    <w:p w14:paraId="139DE0A6">
      <w:pPr>
        <w:keepNext w:val="0"/>
        <w:keepLines w:val="0"/>
        <w:widowControl/>
        <w:numPr>
          <w:ilvl w:val="0"/>
          <w:numId w:val="2"/>
        </w:numPr>
        <w:suppressLineNumbers w:val="0"/>
        <w:pBdr>
          <w:left w:val="none" w:color="auto" w:sz="0" w:space="0"/>
        </w:pBdr>
        <w:spacing w:before="0" w:beforeAutospacing="1" w:after="0" w:afterAutospacing="1"/>
        <w:ind w:left="720" w:hanging="294"/>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研究深度上，往往只进行整体情感分析，未能深入拆解用户的情感层次（如文化自豪感）和具体的行为意向（如旅游意愿）；</w:t>
      </w:r>
    </w:p>
    <w:p w14:paraId="1BA4D6C8">
      <w:pPr>
        <w:keepNext w:val="0"/>
        <w:keepLines w:val="0"/>
        <w:widowControl/>
        <w:numPr>
          <w:ilvl w:val="0"/>
          <w:numId w:val="2"/>
        </w:numPr>
        <w:suppressLineNumbers w:val="0"/>
        <w:pBdr>
          <w:left w:val="none" w:color="auto" w:sz="0" w:space="0"/>
        </w:pBdr>
        <w:spacing w:before="0" w:beforeAutospacing="1" w:after="0" w:afterAutospacing="1"/>
        <w:ind w:left="720" w:hanging="294"/>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研究视角上，缺乏对传播主体（官方vs.个人）在塑造文化传播效果中调节作用的精细对比。</w:t>
      </w:r>
    </w:p>
    <w:p w14:paraId="062965C4">
      <w:pPr>
        <w:pStyle w:val="10"/>
        <w:keepNext w:val="0"/>
        <w:keepLines w:val="0"/>
        <w:widowControl/>
        <w:suppressLineNumbers w:val="0"/>
        <w:spacing w:before="0" w:beforeAutospacing="1" w:after="0" w:afterAutospacing="1"/>
        <w:ind w:left="0" w:righ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因此，本研究立足于“游戏作为文化传播深度媒介”的视角，以《燕云十六声》为案例，构建包含认知效果（主题关注度）、情感效果（情感反应深度）、行为意向（行为转化）和主体差异的四维分析框架，旨在通过对其B站评论的实证分析，揭示游戏进行文化传播的有效路径与内在机制，从而对数字时代的文化传播理论做出有益补充。</w:t>
      </w:r>
    </w:p>
    <w:p w14:paraId="4FA12401">
      <w:pPr>
        <w:pStyle w:val="2"/>
        <w:keepNext w:val="0"/>
        <w:keepLines w:val="0"/>
        <w:widowControl/>
        <w:numPr>
          <w:ilvl w:val="0"/>
          <w:numId w:val="1"/>
        </w:numPr>
        <w:suppressLineNumbers w:val="0"/>
        <w:pBdr>
          <w:left w:val="none" w:color="auto" w:sz="0" w:space="0"/>
        </w:pBdr>
        <w:ind w:left="0" w:leftChars="0" w:firstLine="0" w:firstLineChars="0"/>
        <w:jc w:val="left"/>
        <w:rPr>
          <w:rFonts w:hint="eastAsia" w:asciiTheme="minorEastAsia" w:hAnsiTheme="minorEastAsia" w:eastAsiaTheme="minorEastAsia" w:cstheme="minorEastAsia"/>
        </w:rPr>
      </w:pPr>
      <w:bookmarkStart w:id="8" w:name="_Toc32277"/>
      <w:r>
        <w:rPr>
          <w:rFonts w:hint="eastAsia" w:asciiTheme="minorEastAsia" w:hAnsiTheme="minorEastAsia" w:eastAsiaTheme="minorEastAsia" w:cstheme="minorEastAsia"/>
        </w:rPr>
        <w:t>研究方法：四维分析框架与数据来源</w:t>
      </w:r>
      <w:bookmarkEnd w:id="8"/>
    </w:p>
    <w:p w14:paraId="5E22E5B8">
      <w:pPr>
        <w:pStyle w:val="3"/>
        <w:keepNext w:val="0"/>
        <w:keepLines w:val="0"/>
        <w:widowControl/>
        <w:numPr>
          <w:ilvl w:val="0"/>
          <w:numId w:val="0"/>
        </w:numPr>
        <w:suppressLineNumbers w:val="0"/>
        <w:pBdr>
          <w:left w:val="none" w:color="auto" w:sz="0" w:space="0"/>
        </w:pBdr>
        <w:ind w:leftChars="0"/>
        <w:jc w:val="left"/>
        <w:rPr>
          <w:rFonts w:hint="eastAsia" w:asciiTheme="minorEastAsia" w:hAnsiTheme="minorEastAsia" w:eastAsiaTheme="minorEastAsia" w:cstheme="minorEastAsia"/>
        </w:rPr>
      </w:pPr>
      <w:bookmarkStart w:id="9" w:name="_Toc17870"/>
      <w:r>
        <w:rPr>
          <w:rFonts w:hint="eastAsia" w:asciiTheme="minorEastAsia" w:hAnsiTheme="minorEastAsia" w:eastAsiaTheme="minorEastAsia" w:cstheme="minorEastAsia"/>
        </w:rPr>
        <w:t>3.1 分析框架</w:t>
      </w:r>
      <w:bookmarkEnd w:id="9"/>
    </w:p>
    <w:p w14:paraId="28591DAD">
      <w:pPr>
        <w:pStyle w:val="10"/>
        <w:keepNext w:val="0"/>
        <w:keepLines w:val="0"/>
        <w:widowControl/>
        <w:suppressLineNumbers w:val="0"/>
        <w:spacing w:before="0" w:beforeAutospacing="1" w:after="0" w:afterAutospacing="1"/>
        <w:ind w:left="0" w:righ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本研究构建了四维度的文化传播效果分析框架，以系统评估《燕云十六声》的传播实践：</w:t>
      </w:r>
    </w:p>
    <w:p w14:paraId="25AB5475">
      <w:pPr>
        <w:keepNext w:val="0"/>
        <w:keepLines w:val="0"/>
        <w:widowControl/>
        <w:numPr>
          <w:ilvl w:val="0"/>
          <w:numId w:val="3"/>
        </w:numPr>
        <w:suppressLineNumbers w:val="0"/>
        <w:pBdr>
          <w:left w:val="none" w:color="auto" w:sz="0" w:space="0"/>
        </w:pBdr>
        <w:spacing w:before="0" w:beforeAutospacing="1" w:after="0" w:afterAutospacing="1"/>
        <w:ind w:left="720" w:hanging="294"/>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认知效果：通过各主题视频的评论数量与平均点赞数，衡量用户对该主题的关注度与基础参与度；</w:t>
      </w:r>
    </w:p>
    <w:p w14:paraId="200015A2">
      <w:pPr>
        <w:keepNext w:val="0"/>
        <w:keepLines w:val="0"/>
        <w:widowControl/>
        <w:numPr>
          <w:ilvl w:val="0"/>
          <w:numId w:val="3"/>
        </w:numPr>
        <w:suppressLineNumbers w:val="0"/>
        <w:pBdr>
          <w:left w:val="none" w:color="auto" w:sz="0" w:space="0"/>
        </w:pBdr>
        <w:spacing w:before="0" w:beforeAutospacing="1" w:after="0" w:afterAutospacing="1"/>
        <w:ind w:left="720" w:hanging="294"/>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情感效果：采用情感分析方法计算正面评价率与平均情感得分，并对正面评论进行深度情感分类（如文化自豪、情感共鸣、赞美认同），以解析用户的情感反应结构；</w:t>
      </w:r>
    </w:p>
    <w:p w14:paraId="26520B8A">
      <w:pPr>
        <w:keepNext w:val="0"/>
        <w:keepLines w:val="0"/>
        <w:widowControl/>
        <w:numPr>
          <w:ilvl w:val="0"/>
          <w:numId w:val="3"/>
        </w:numPr>
        <w:suppressLineNumbers w:val="0"/>
        <w:pBdr>
          <w:left w:val="none" w:color="auto" w:sz="0" w:space="0"/>
        </w:pBdr>
        <w:spacing w:before="0" w:beforeAutospacing="1" w:after="0" w:afterAutospacing="1"/>
        <w:ind w:left="720" w:hanging="294"/>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行为意向效果：通过识别评论中表达的旅游意愿、搜索学习、传播意愿与二次创作意向，衡量文化传播的行为转化潜力；</w:t>
      </w:r>
    </w:p>
    <w:p w14:paraId="38DC106A">
      <w:pPr>
        <w:keepNext w:val="0"/>
        <w:keepLines w:val="0"/>
        <w:widowControl/>
        <w:numPr>
          <w:ilvl w:val="0"/>
          <w:numId w:val="3"/>
        </w:numPr>
        <w:suppressLineNumbers w:val="0"/>
        <w:pBdr>
          <w:left w:val="none" w:color="auto" w:sz="0" w:space="0"/>
        </w:pBdr>
        <w:spacing w:before="0" w:beforeAutospacing="1" w:after="0" w:afterAutospacing="1"/>
        <w:ind w:left="720" w:hanging="294"/>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传播主体效果：对比官方账号与个人账号在以上三个维度上的表现差异，探讨发布主体的调节作用。</w:t>
      </w:r>
    </w:p>
    <w:tbl>
      <w:tblPr>
        <w:tblStyle w:val="11"/>
        <w:tblW w:w="8522" w:type="dxa"/>
        <w:jc w:val="center"/>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2126"/>
        <w:gridCol w:w="2420"/>
        <w:gridCol w:w="3976"/>
      </w:tblGrid>
      <w:tr w14:paraId="2974AB5B">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tblHeader/>
          <w:jc w:val="center"/>
        </w:trPr>
        <w:tc>
          <w:tcPr>
            <w:tcW w:w="2126" w:type="dxa"/>
            <w:tcBorders>
              <w:top w:val="single" w:color="auto" w:sz="12" w:space="0"/>
              <w:left w:val="nil"/>
              <w:bottom w:val="single" w:color="auto" w:sz="4" w:space="0"/>
              <w:right w:val="nil"/>
            </w:tcBorders>
            <w:shd w:val="clear" w:color="auto" w:fill="auto"/>
            <w:vAlign w:val="center"/>
          </w:tcPr>
          <w:p w14:paraId="5C2F71C4">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b/>
              </w:rPr>
            </w:pPr>
            <w:r>
              <w:rPr>
                <w:rStyle w:val="14"/>
                <w:rFonts w:hint="eastAsia" w:asciiTheme="minorEastAsia" w:hAnsiTheme="minorEastAsia" w:eastAsiaTheme="minorEastAsia" w:cstheme="minorEastAsia"/>
                <w:b/>
                <w:bCs/>
              </w:rPr>
              <w:t>维度</w:t>
            </w:r>
          </w:p>
        </w:tc>
        <w:tc>
          <w:tcPr>
            <w:tcW w:w="2420" w:type="dxa"/>
            <w:tcBorders>
              <w:top w:val="single" w:color="auto" w:sz="12" w:space="0"/>
              <w:left w:val="nil"/>
              <w:bottom w:val="single" w:color="auto" w:sz="4" w:space="0"/>
              <w:right w:val="nil"/>
            </w:tcBorders>
            <w:shd w:val="clear" w:color="auto" w:fill="auto"/>
            <w:vAlign w:val="center"/>
          </w:tcPr>
          <w:p w14:paraId="11F603F9">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b/>
              </w:rPr>
            </w:pPr>
            <w:r>
              <w:rPr>
                <w:rStyle w:val="14"/>
                <w:rFonts w:hint="eastAsia" w:asciiTheme="minorEastAsia" w:hAnsiTheme="minorEastAsia" w:eastAsiaTheme="minorEastAsia" w:cstheme="minorEastAsia"/>
                <w:b/>
                <w:bCs/>
              </w:rPr>
              <w:t>核心内涵</w:t>
            </w:r>
          </w:p>
        </w:tc>
        <w:tc>
          <w:tcPr>
            <w:tcW w:w="3976" w:type="dxa"/>
            <w:tcBorders>
              <w:top w:val="single" w:color="auto" w:sz="12" w:space="0"/>
              <w:left w:val="nil"/>
              <w:bottom w:val="single" w:color="auto" w:sz="4" w:space="0"/>
              <w:right w:val="nil"/>
            </w:tcBorders>
            <w:shd w:val="clear" w:color="auto" w:fill="auto"/>
            <w:vAlign w:val="center"/>
          </w:tcPr>
          <w:p w14:paraId="0D855E0F">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b/>
              </w:rPr>
            </w:pPr>
            <w:r>
              <w:rPr>
                <w:rStyle w:val="14"/>
                <w:rFonts w:hint="eastAsia" w:asciiTheme="minorEastAsia" w:hAnsiTheme="minorEastAsia" w:eastAsiaTheme="minorEastAsia" w:cstheme="minorEastAsia"/>
                <w:b/>
                <w:bCs/>
              </w:rPr>
              <w:t>测量指标</w:t>
            </w:r>
          </w:p>
        </w:tc>
      </w:tr>
      <w:tr w14:paraId="7CC98C34">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2126" w:type="dxa"/>
            <w:tcBorders>
              <w:top w:val="single" w:color="auto" w:sz="4" w:space="0"/>
              <w:left w:val="nil"/>
              <w:bottom w:val="nil"/>
              <w:right w:val="nil"/>
            </w:tcBorders>
            <w:shd w:val="clear" w:color="auto" w:fill="auto"/>
            <w:vAlign w:val="center"/>
          </w:tcPr>
          <w:p w14:paraId="365D10B0">
            <w:pPr>
              <w:pStyle w:val="10"/>
              <w:keepNext w:val="0"/>
              <w:keepLines w:val="0"/>
              <w:widowControl/>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rPr>
            </w:pPr>
            <w:r>
              <w:rPr>
                <w:rStyle w:val="14"/>
                <w:rFonts w:hint="eastAsia" w:asciiTheme="minorEastAsia" w:hAnsiTheme="minorEastAsia" w:eastAsiaTheme="minorEastAsia" w:cstheme="minorEastAsia"/>
                <w:b/>
                <w:bCs/>
              </w:rPr>
              <w:t>认知效果</w:t>
            </w:r>
          </w:p>
          <w:p w14:paraId="0BF05703">
            <w:pPr>
              <w:pStyle w:val="10"/>
              <w:keepNext w:val="0"/>
              <w:keepLines w:val="0"/>
              <w:widowControl/>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Cognitive Effects</w:t>
            </w:r>
          </w:p>
        </w:tc>
        <w:tc>
          <w:tcPr>
            <w:tcW w:w="2420" w:type="dxa"/>
            <w:tcBorders>
              <w:top w:val="single" w:color="auto" w:sz="4" w:space="0"/>
              <w:left w:val="nil"/>
              <w:bottom w:val="nil"/>
              <w:right w:val="nil"/>
            </w:tcBorders>
            <w:shd w:val="clear" w:color="auto" w:fill="auto"/>
            <w:vAlign w:val="center"/>
          </w:tcPr>
          <w:p w14:paraId="2EC72F27">
            <w:pPr>
              <w:pStyle w:val="10"/>
              <w:keepNext w:val="0"/>
              <w:keepLines w:val="0"/>
              <w:widowControl/>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衡量用户对传播内容的</w:t>
            </w:r>
            <w:r>
              <w:rPr>
                <w:rStyle w:val="14"/>
                <w:rFonts w:hint="eastAsia" w:asciiTheme="minorEastAsia" w:hAnsiTheme="minorEastAsia" w:eastAsiaTheme="minorEastAsia" w:cstheme="minorEastAsia"/>
                <w:b/>
                <w:bCs/>
              </w:rPr>
              <w:t>关注度与基础参与度</w:t>
            </w:r>
          </w:p>
        </w:tc>
        <w:tc>
          <w:tcPr>
            <w:tcW w:w="3976" w:type="dxa"/>
            <w:tcBorders>
              <w:top w:val="single" w:color="auto" w:sz="4" w:space="0"/>
              <w:left w:val="nil"/>
              <w:bottom w:val="nil"/>
              <w:right w:val="nil"/>
            </w:tcBorders>
            <w:shd w:val="clear" w:color="auto" w:fill="auto"/>
            <w:vAlign w:val="center"/>
          </w:tcPr>
          <w:p w14:paraId="53C92DD7">
            <w:pPr>
              <w:pStyle w:val="10"/>
              <w:keepNext w:val="0"/>
              <w:keepLines w:val="0"/>
              <w:widowControl/>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 各主题视频的</w:t>
            </w:r>
            <w:r>
              <w:rPr>
                <w:rStyle w:val="14"/>
                <w:rFonts w:hint="eastAsia" w:asciiTheme="minorEastAsia" w:hAnsiTheme="minorEastAsia" w:eastAsiaTheme="minorEastAsia" w:cstheme="minorEastAsia"/>
                <w:b/>
                <w:bCs/>
              </w:rPr>
              <w:t>评论数量</w:t>
            </w:r>
          </w:p>
          <w:p w14:paraId="689BC9BA">
            <w:pPr>
              <w:pStyle w:val="10"/>
              <w:keepNext w:val="0"/>
              <w:keepLines w:val="0"/>
              <w:widowControl/>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 各主题视频的</w:t>
            </w:r>
            <w:r>
              <w:rPr>
                <w:rStyle w:val="14"/>
                <w:rFonts w:hint="eastAsia" w:asciiTheme="minorEastAsia" w:hAnsiTheme="minorEastAsia" w:eastAsiaTheme="minorEastAsia" w:cstheme="minorEastAsia"/>
                <w:b/>
                <w:bCs/>
              </w:rPr>
              <w:t>平均点赞数</w:t>
            </w:r>
          </w:p>
        </w:tc>
      </w:tr>
      <w:tr w14:paraId="1A1CBF41">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2126" w:type="dxa"/>
            <w:tcBorders>
              <w:top w:val="nil"/>
              <w:left w:val="nil"/>
              <w:bottom w:val="nil"/>
              <w:right w:val="nil"/>
            </w:tcBorders>
            <w:shd w:val="clear" w:color="auto" w:fill="auto"/>
            <w:vAlign w:val="center"/>
          </w:tcPr>
          <w:p w14:paraId="00A13CEA">
            <w:pPr>
              <w:pStyle w:val="10"/>
              <w:keepNext w:val="0"/>
              <w:keepLines w:val="0"/>
              <w:widowControl/>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rPr>
            </w:pPr>
            <w:r>
              <w:rPr>
                <w:rStyle w:val="14"/>
                <w:rFonts w:hint="eastAsia" w:asciiTheme="minorEastAsia" w:hAnsiTheme="minorEastAsia" w:eastAsiaTheme="minorEastAsia" w:cstheme="minorEastAsia"/>
                <w:b/>
                <w:bCs/>
              </w:rPr>
              <w:t>情感效果</w:t>
            </w:r>
          </w:p>
          <w:p w14:paraId="77482640">
            <w:pPr>
              <w:pStyle w:val="10"/>
              <w:keepNext w:val="0"/>
              <w:keepLines w:val="0"/>
              <w:widowControl/>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Emotional Effects</w:t>
            </w:r>
          </w:p>
        </w:tc>
        <w:tc>
          <w:tcPr>
            <w:tcW w:w="2420" w:type="dxa"/>
            <w:tcBorders>
              <w:top w:val="nil"/>
              <w:left w:val="nil"/>
              <w:bottom w:val="nil"/>
              <w:right w:val="nil"/>
            </w:tcBorders>
            <w:shd w:val="clear" w:color="auto" w:fill="auto"/>
            <w:vAlign w:val="center"/>
          </w:tcPr>
          <w:p w14:paraId="5D5B78BB">
            <w:pPr>
              <w:pStyle w:val="10"/>
              <w:keepNext w:val="0"/>
              <w:keepLines w:val="0"/>
              <w:widowControl/>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解析用户对传播内容的</w:t>
            </w:r>
            <w:r>
              <w:rPr>
                <w:rStyle w:val="14"/>
                <w:rFonts w:hint="eastAsia" w:asciiTheme="minorEastAsia" w:hAnsiTheme="minorEastAsia" w:eastAsiaTheme="minorEastAsia" w:cstheme="minorEastAsia"/>
                <w:b/>
                <w:bCs/>
              </w:rPr>
              <w:t>情感反应结构与深度</w:t>
            </w:r>
          </w:p>
        </w:tc>
        <w:tc>
          <w:tcPr>
            <w:tcW w:w="3976" w:type="dxa"/>
            <w:tcBorders>
              <w:top w:val="nil"/>
              <w:left w:val="nil"/>
              <w:bottom w:val="nil"/>
              <w:right w:val="nil"/>
            </w:tcBorders>
            <w:shd w:val="clear" w:color="auto" w:fill="auto"/>
            <w:vAlign w:val="center"/>
          </w:tcPr>
          <w:p w14:paraId="2D2E71D2">
            <w:pPr>
              <w:pStyle w:val="10"/>
              <w:keepNext w:val="0"/>
              <w:keepLines w:val="0"/>
              <w:widowControl/>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w:t>
            </w:r>
            <w:r>
              <w:rPr>
                <w:rStyle w:val="14"/>
                <w:rFonts w:hint="eastAsia" w:asciiTheme="minorEastAsia" w:hAnsiTheme="minorEastAsia" w:eastAsiaTheme="minorEastAsia" w:cstheme="minorEastAsia"/>
                <w:b/>
                <w:bCs/>
              </w:rPr>
              <w:t>正面率</w:t>
            </w:r>
            <w:r>
              <w:rPr>
                <w:rFonts w:hint="eastAsia" w:asciiTheme="minorEastAsia" w:hAnsiTheme="minorEastAsia" w:eastAsiaTheme="minorEastAsia" w:cstheme="minorEastAsia"/>
              </w:rPr>
              <w:t>与</w:t>
            </w:r>
            <w:r>
              <w:rPr>
                <w:rStyle w:val="14"/>
                <w:rFonts w:hint="eastAsia" w:asciiTheme="minorEastAsia" w:hAnsiTheme="minorEastAsia" w:eastAsiaTheme="minorEastAsia" w:cstheme="minorEastAsia"/>
                <w:b/>
                <w:bCs/>
              </w:rPr>
              <w:t>平均情感得分</w:t>
            </w:r>
          </w:p>
          <w:p w14:paraId="3D039CF9">
            <w:pPr>
              <w:pStyle w:val="10"/>
              <w:keepNext w:val="0"/>
              <w:keepLines w:val="0"/>
              <w:widowControl/>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w:t>
            </w:r>
            <w:r>
              <w:rPr>
                <w:rStyle w:val="14"/>
                <w:rFonts w:hint="eastAsia" w:asciiTheme="minorEastAsia" w:hAnsiTheme="minorEastAsia" w:eastAsiaTheme="minorEastAsia" w:cstheme="minorEastAsia"/>
                <w:b/>
                <w:bCs/>
              </w:rPr>
              <w:t>深度情感分类</w:t>
            </w:r>
            <w:r>
              <w:rPr>
                <w:rFonts w:hint="eastAsia" w:asciiTheme="minorEastAsia" w:hAnsiTheme="minorEastAsia" w:eastAsiaTheme="minorEastAsia" w:cstheme="minorEastAsia"/>
              </w:rPr>
              <w:t>（文化自豪、情感共鸣、赞美认同）</w:t>
            </w:r>
          </w:p>
        </w:tc>
      </w:tr>
      <w:tr w14:paraId="629170F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2126" w:type="dxa"/>
            <w:tcBorders>
              <w:top w:val="nil"/>
              <w:left w:val="nil"/>
              <w:bottom w:val="nil"/>
              <w:right w:val="nil"/>
            </w:tcBorders>
            <w:shd w:val="clear" w:color="auto" w:fill="auto"/>
            <w:vAlign w:val="center"/>
          </w:tcPr>
          <w:p w14:paraId="45EA3940">
            <w:pPr>
              <w:pStyle w:val="10"/>
              <w:keepNext w:val="0"/>
              <w:keepLines w:val="0"/>
              <w:widowControl/>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rPr>
            </w:pPr>
            <w:r>
              <w:rPr>
                <w:rStyle w:val="14"/>
                <w:rFonts w:hint="eastAsia" w:asciiTheme="minorEastAsia" w:hAnsiTheme="minorEastAsia" w:eastAsiaTheme="minorEastAsia" w:cstheme="minorEastAsia"/>
                <w:b/>
                <w:bCs/>
              </w:rPr>
              <w:t>行为意向效果</w:t>
            </w:r>
          </w:p>
          <w:p w14:paraId="0BB493B9">
            <w:pPr>
              <w:pStyle w:val="10"/>
              <w:keepNext w:val="0"/>
              <w:keepLines w:val="0"/>
              <w:widowControl/>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Behavioral Intention Effects</w:t>
            </w:r>
          </w:p>
        </w:tc>
        <w:tc>
          <w:tcPr>
            <w:tcW w:w="2420" w:type="dxa"/>
            <w:tcBorders>
              <w:top w:val="nil"/>
              <w:left w:val="nil"/>
              <w:bottom w:val="nil"/>
              <w:right w:val="nil"/>
            </w:tcBorders>
            <w:shd w:val="clear" w:color="auto" w:fill="auto"/>
            <w:vAlign w:val="center"/>
          </w:tcPr>
          <w:p w14:paraId="14CF16B7">
            <w:pPr>
              <w:pStyle w:val="10"/>
              <w:keepNext w:val="0"/>
              <w:keepLines w:val="0"/>
              <w:widowControl/>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衡量文化传播是否激发用户的</w:t>
            </w:r>
            <w:r>
              <w:rPr>
                <w:rStyle w:val="14"/>
                <w:rFonts w:hint="eastAsia" w:asciiTheme="minorEastAsia" w:hAnsiTheme="minorEastAsia" w:eastAsiaTheme="minorEastAsia" w:cstheme="minorEastAsia"/>
                <w:b/>
                <w:bCs/>
              </w:rPr>
              <w:t>具体行为动机</w:t>
            </w:r>
            <w:r>
              <w:rPr>
                <w:rFonts w:hint="eastAsia" w:asciiTheme="minorEastAsia" w:hAnsiTheme="minorEastAsia" w:eastAsiaTheme="minorEastAsia" w:cstheme="minorEastAsia"/>
              </w:rPr>
              <w:t>，检验其</w:t>
            </w:r>
            <w:r>
              <w:rPr>
                <w:rStyle w:val="14"/>
                <w:rFonts w:hint="eastAsia" w:asciiTheme="minorEastAsia" w:hAnsiTheme="minorEastAsia" w:eastAsiaTheme="minorEastAsia" w:cstheme="minorEastAsia"/>
                <w:b/>
                <w:bCs/>
              </w:rPr>
              <w:t>行为转化潜力</w:t>
            </w:r>
          </w:p>
        </w:tc>
        <w:tc>
          <w:tcPr>
            <w:tcW w:w="3976" w:type="dxa"/>
            <w:tcBorders>
              <w:top w:val="nil"/>
              <w:left w:val="nil"/>
              <w:bottom w:val="nil"/>
              <w:right w:val="nil"/>
            </w:tcBorders>
            <w:shd w:val="clear" w:color="auto" w:fill="auto"/>
            <w:vAlign w:val="center"/>
          </w:tcPr>
          <w:p w14:paraId="4F19BDFF">
            <w:pPr>
              <w:pStyle w:val="10"/>
              <w:keepNext w:val="0"/>
              <w:keepLines w:val="0"/>
              <w:widowControl/>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w:t>
            </w:r>
            <w:r>
              <w:rPr>
                <w:rStyle w:val="14"/>
                <w:rFonts w:hint="eastAsia" w:asciiTheme="minorEastAsia" w:hAnsiTheme="minorEastAsia" w:eastAsiaTheme="minorEastAsia" w:cstheme="minorEastAsia"/>
                <w:b/>
                <w:bCs/>
              </w:rPr>
              <w:t>旅游意愿</w:t>
            </w:r>
          </w:p>
          <w:p w14:paraId="16B3FDD1">
            <w:pPr>
              <w:pStyle w:val="10"/>
              <w:keepNext w:val="0"/>
              <w:keepLines w:val="0"/>
              <w:widowControl/>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w:t>
            </w:r>
            <w:r>
              <w:rPr>
                <w:rStyle w:val="14"/>
                <w:rFonts w:hint="eastAsia" w:asciiTheme="minorEastAsia" w:hAnsiTheme="minorEastAsia" w:eastAsiaTheme="minorEastAsia" w:cstheme="minorEastAsia"/>
                <w:b/>
                <w:bCs/>
              </w:rPr>
              <w:t>搜索学习</w:t>
            </w:r>
            <w:r>
              <w:rPr>
                <w:rFonts w:hint="eastAsia" w:asciiTheme="minorEastAsia" w:hAnsiTheme="minorEastAsia" w:eastAsiaTheme="minorEastAsia" w:cstheme="minorEastAsia"/>
              </w:rPr>
              <w:t>意愿</w:t>
            </w:r>
          </w:p>
          <w:p w14:paraId="6D3453EB">
            <w:pPr>
              <w:pStyle w:val="10"/>
              <w:keepNext w:val="0"/>
              <w:keepLines w:val="0"/>
              <w:widowControl/>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w:t>
            </w:r>
            <w:r>
              <w:rPr>
                <w:rStyle w:val="14"/>
                <w:rFonts w:hint="eastAsia" w:asciiTheme="minorEastAsia" w:hAnsiTheme="minorEastAsia" w:eastAsiaTheme="minorEastAsia" w:cstheme="minorEastAsia"/>
                <w:b/>
                <w:bCs/>
              </w:rPr>
              <w:t>传播意愿</w:t>
            </w:r>
          </w:p>
          <w:p w14:paraId="5C2D53B4">
            <w:pPr>
              <w:pStyle w:val="10"/>
              <w:keepNext w:val="0"/>
              <w:keepLines w:val="0"/>
              <w:widowControl/>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w:t>
            </w:r>
            <w:r>
              <w:rPr>
                <w:rStyle w:val="14"/>
                <w:rFonts w:hint="eastAsia" w:asciiTheme="minorEastAsia" w:hAnsiTheme="minorEastAsia" w:eastAsiaTheme="minorEastAsia" w:cstheme="minorEastAsia"/>
                <w:b/>
                <w:bCs/>
              </w:rPr>
              <w:t>二次创作</w:t>
            </w:r>
            <w:r>
              <w:rPr>
                <w:rFonts w:hint="eastAsia" w:asciiTheme="minorEastAsia" w:hAnsiTheme="minorEastAsia" w:eastAsiaTheme="minorEastAsia" w:cstheme="minorEastAsia"/>
              </w:rPr>
              <w:t>意向</w:t>
            </w:r>
          </w:p>
        </w:tc>
      </w:tr>
      <w:tr w14:paraId="06FB84A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2126" w:type="dxa"/>
            <w:tcBorders>
              <w:top w:val="nil"/>
              <w:left w:val="nil"/>
              <w:bottom w:val="single" w:color="auto" w:sz="12" w:space="0"/>
              <w:right w:val="nil"/>
            </w:tcBorders>
            <w:shd w:val="clear" w:color="auto" w:fill="auto"/>
            <w:vAlign w:val="center"/>
          </w:tcPr>
          <w:p w14:paraId="21C28DFD">
            <w:pPr>
              <w:pStyle w:val="10"/>
              <w:keepNext w:val="0"/>
              <w:keepLines w:val="0"/>
              <w:widowControl/>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rPr>
            </w:pPr>
            <w:r>
              <w:rPr>
                <w:rStyle w:val="14"/>
                <w:rFonts w:hint="eastAsia" w:asciiTheme="minorEastAsia" w:hAnsiTheme="minorEastAsia" w:eastAsiaTheme="minorEastAsia" w:cstheme="minorEastAsia"/>
                <w:b/>
                <w:bCs/>
              </w:rPr>
              <w:t>传播主体效果</w:t>
            </w:r>
          </w:p>
          <w:p w14:paraId="516B6BC6">
            <w:pPr>
              <w:pStyle w:val="10"/>
              <w:keepNext w:val="0"/>
              <w:keepLines w:val="0"/>
              <w:widowControl/>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Source Effects</w:t>
            </w:r>
          </w:p>
        </w:tc>
        <w:tc>
          <w:tcPr>
            <w:tcW w:w="2420" w:type="dxa"/>
            <w:tcBorders>
              <w:top w:val="nil"/>
              <w:left w:val="nil"/>
              <w:bottom w:val="single" w:color="auto" w:sz="12" w:space="0"/>
              <w:right w:val="nil"/>
            </w:tcBorders>
            <w:shd w:val="clear" w:color="auto" w:fill="auto"/>
            <w:vAlign w:val="center"/>
          </w:tcPr>
          <w:p w14:paraId="4B76F098">
            <w:pPr>
              <w:pStyle w:val="10"/>
              <w:keepNext w:val="0"/>
              <w:keepLines w:val="0"/>
              <w:widowControl/>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探讨</w:t>
            </w:r>
            <w:r>
              <w:rPr>
                <w:rStyle w:val="14"/>
                <w:rFonts w:hint="eastAsia" w:asciiTheme="minorEastAsia" w:hAnsiTheme="minorEastAsia" w:eastAsiaTheme="minorEastAsia" w:cstheme="minorEastAsia"/>
                <w:b/>
                <w:bCs/>
              </w:rPr>
              <w:t>发布主体</w:t>
            </w:r>
            <w:r>
              <w:rPr>
                <w:rFonts w:hint="eastAsia" w:asciiTheme="minorEastAsia" w:hAnsiTheme="minorEastAsia" w:eastAsiaTheme="minorEastAsia" w:cstheme="minorEastAsia"/>
              </w:rPr>
              <w:t>（官方账号 vs. 个人账号）对传播效果的</w:t>
            </w:r>
            <w:r>
              <w:rPr>
                <w:rStyle w:val="14"/>
                <w:rFonts w:hint="eastAsia" w:asciiTheme="minorEastAsia" w:hAnsiTheme="minorEastAsia" w:eastAsiaTheme="minorEastAsia" w:cstheme="minorEastAsia"/>
                <w:b/>
                <w:bCs/>
              </w:rPr>
              <w:t>调节作用</w:t>
            </w:r>
          </w:p>
        </w:tc>
        <w:tc>
          <w:tcPr>
            <w:tcW w:w="3976" w:type="dxa"/>
            <w:tcBorders>
              <w:top w:val="nil"/>
              <w:left w:val="nil"/>
              <w:bottom w:val="single" w:color="auto" w:sz="12" w:space="0"/>
              <w:right w:val="nil"/>
            </w:tcBorders>
            <w:shd w:val="clear" w:color="auto" w:fill="auto"/>
            <w:vAlign w:val="center"/>
          </w:tcPr>
          <w:p w14:paraId="5447FC65">
            <w:pPr>
              <w:pStyle w:val="10"/>
              <w:keepNext w:val="0"/>
              <w:keepLines w:val="0"/>
              <w:widowControl/>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w:t>
            </w:r>
            <w:r>
              <w:rPr>
                <w:rStyle w:val="14"/>
                <w:rFonts w:hint="eastAsia" w:asciiTheme="minorEastAsia" w:hAnsiTheme="minorEastAsia" w:eastAsiaTheme="minorEastAsia" w:cstheme="minorEastAsia"/>
                <w:b/>
                <w:bCs/>
              </w:rPr>
              <w:t>对比分析</w:t>
            </w:r>
            <w:r>
              <w:rPr>
                <w:rFonts w:hint="eastAsia" w:asciiTheme="minorEastAsia" w:hAnsiTheme="minorEastAsia" w:eastAsiaTheme="minorEastAsia" w:cstheme="minorEastAsia"/>
              </w:rPr>
              <w:t>官方账号与个人账号在以上三个维度上的表现差异</w:t>
            </w:r>
          </w:p>
        </w:tc>
      </w:tr>
    </w:tbl>
    <w:p w14:paraId="504656B9">
      <w:pPr>
        <w:pStyle w:val="5"/>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表 </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SEQ 表 \* ARABIC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lang w:val="en-US" w:eastAsia="zh-CN"/>
        </w:rPr>
        <w:t xml:space="preserve"> 文化传播效果四维分析框架</w:t>
      </w:r>
    </w:p>
    <w:p w14:paraId="4092B80B">
      <w:pPr>
        <w:pStyle w:val="3"/>
        <w:keepNext w:val="0"/>
        <w:keepLines w:val="0"/>
        <w:widowControl/>
        <w:numPr>
          <w:ilvl w:val="0"/>
          <w:numId w:val="0"/>
        </w:numPr>
        <w:suppressLineNumbers w:val="0"/>
        <w:pBdr>
          <w:left w:val="none" w:color="auto" w:sz="0" w:space="0"/>
        </w:pBdr>
        <w:ind w:leftChars="0"/>
        <w:jc w:val="left"/>
        <w:rPr>
          <w:rFonts w:hint="eastAsia" w:asciiTheme="minorEastAsia" w:hAnsiTheme="minorEastAsia" w:eastAsiaTheme="minorEastAsia" w:cstheme="minorEastAsia"/>
        </w:rPr>
      </w:pPr>
      <w:bookmarkStart w:id="10" w:name="_Toc16313"/>
      <w:r>
        <w:rPr>
          <w:rFonts w:hint="eastAsia" w:asciiTheme="minorEastAsia" w:hAnsiTheme="minorEastAsia" w:eastAsiaTheme="minorEastAsia" w:cstheme="minorEastAsia"/>
        </w:rPr>
        <w:t>3.2 数据收集与处理</w:t>
      </w:r>
      <w:bookmarkEnd w:id="10"/>
    </w:p>
    <w:p w14:paraId="57CEEED1">
      <w:pPr>
        <w:pStyle w:val="4"/>
        <w:keepNext w:val="0"/>
        <w:keepLines w:val="0"/>
        <w:widowControl/>
        <w:numPr>
          <w:ilvl w:val="0"/>
          <w:numId w:val="0"/>
        </w:numPr>
        <w:suppressLineNumbers w:val="0"/>
        <w:pBdr>
          <w:left w:val="none" w:color="auto" w:sz="0" w:space="0"/>
        </w:pBdr>
        <w:ind w:left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3.2.1 数据来源与样本筛选</w:t>
      </w:r>
    </w:p>
    <w:p w14:paraId="03899BEC">
      <w:pPr>
        <w:pStyle w:val="10"/>
        <w:keepNext w:val="0"/>
        <w:keepLines w:val="0"/>
        <w:widowControl/>
        <w:suppressLineNumbers w:val="0"/>
        <w:spacing w:before="0" w:beforeAutospacing="1" w:after="0" w:afterAutospacing="1"/>
        <w:ind w:left="0" w:righ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本研究数据来源于 B站平台，通过爬虫工具抓取与《燕云十六声》“文化传播” 相关的视频评论，筛选标准如下：</w:t>
      </w:r>
    </w:p>
    <w:p w14:paraId="0D5E2B92">
      <w:pPr>
        <w:keepNext w:val="0"/>
        <w:keepLines w:val="0"/>
        <w:widowControl/>
        <w:numPr>
          <w:ilvl w:val="0"/>
          <w:numId w:val="4"/>
        </w:numPr>
        <w:suppressLineNumbers w:val="0"/>
        <w:pBdr>
          <w:left w:val="none" w:color="auto" w:sz="0" w:space="0"/>
        </w:pBdr>
        <w:spacing w:before="0" w:beforeAutospacing="1" w:after="0" w:afterAutospacing="1"/>
        <w:ind w:left="720" w:hanging="294"/>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视频范围：包含“文化元素解读”“文旅联动”“技术复原文化”等主题，排除纯游戏攻略、吐槽类视频；</w:t>
      </w:r>
    </w:p>
    <w:p w14:paraId="42786C67">
      <w:pPr>
        <w:keepNext w:val="0"/>
        <w:keepLines w:val="0"/>
        <w:widowControl/>
        <w:numPr>
          <w:ilvl w:val="0"/>
          <w:numId w:val="4"/>
        </w:numPr>
        <w:suppressLineNumbers w:val="0"/>
        <w:pBdr>
          <w:left w:val="none" w:color="auto" w:sz="0" w:space="0"/>
        </w:pBdr>
        <w:spacing w:before="0" w:beforeAutospacing="1" w:after="0" w:afterAutospacing="1"/>
        <w:ind w:left="720" w:hanging="294"/>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时间范围：覆盖游戏上线后关键传播周期，确保评论的时效性与代表性；</w:t>
      </w:r>
    </w:p>
    <w:p w14:paraId="57779F5B">
      <w:pPr>
        <w:keepNext w:val="0"/>
        <w:keepLines w:val="0"/>
        <w:widowControl/>
        <w:numPr>
          <w:ilvl w:val="0"/>
          <w:numId w:val="4"/>
        </w:numPr>
        <w:suppressLineNumbers w:val="0"/>
        <w:pBdr>
          <w:left w:val="none" w:color="auto" w:sz="0" w:space="0"/>
        </w:pBdr>
        <w:spacing w:before="0" w:beforeAutospacing="1" w:after="0" w:afterAutospacing="1"/>
        <w:ind w:left="720" w:hanging="294"/>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评论筛选：剔除纯表情、广告、重复刷屏的无效评论，最终保留8899条有效评论，涉及14个核心视频。</w:t>
      </w:r>
    </w:p>
    <w:p w14:paraId="7D0F6272">
      <w:pPr>
        <w:pStyle w:val="4"/>
        <w:keepNext w:val="0"/>
        <w:keepLines w:val="0"/>
        <w:widowControl/>
        <w:numPr>
          <w:ilvl w:val="0"/>
          <w:numId w:val="0"/>
        </w:numPr>
        <w:suppressLineNumbers w:val="0"/>
        <w:pBdr>
          <w:left w:val="none" w:color="auto" w:sz="0" w:space="0"/>
        </w:pBdr>
        <w:ind w:left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3.2.2 传播主题分类与样本构成</w:t>
      </w:r>
    </w:p>
    <w:p w14:paraId="0BE8E334">
      <w:pPr>
        <w:pStyle w:val="10"/>
        <w:keepNext w:val="0"/>
        <w:keepLines w:val="0"/>
        <w:widowControl/>
        <w:suppressLineNumbers w:val="0"/>
        <w:spacing w:before="0" w:beforeAutospacing="1" w:after="0" w:afterAutospacing="1"/>
        <w:ind w:left="0" w:righ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根据视频内容，将14个视频及对应评论划分为6类传播主题，并统计各类主题的视频数量与评论数量（见表2）。从结果可见，6类主题的样本量差异显著：“深度叙事解读”评论量最多（2838条），“文旅融合体验”最少（58 条），样本量差异达48.9倍，反映用户对“文化叙事类”内容的关注远高于“线下联动类”内容。</w:t>
      </w:r>
    </w:p>
    <w:tbl>
      <w:tblPr>
        <w:tblStyle w:val="11"/>
        <w:tblW w:w="8521" w:type="dxa"/>
        <w:jc w:val="center"/>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634"/>
        <w:gridCol w:w="1152"/>
        <w:gridCol w:w="1152"/>
        <w:gridCol w:w="870"/>
        <w:gridCol w:w="3713"/>
      </w:tblGrid>
      <w:tr w14:paraId="515604A0">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tblHeader/>
          <w:jc w:val="center"/>
        </w:trPr>
        <w:tc>
          <w:tcPr>
            <w:tcW w:w="1634" w:type="dxa"/>
            <w:tcBorders>
              <w:top w:val="single" w:color="auto" w:sz="12" w:space="0"/>
              <w:left w:val="nil"/>
              <w:bottom w:val="single" w:color="auto" w:sz="4" w:space="0"/>
              <w:right w:val="nil"/>
            </w:tcBorders>
            <w:shd w:val="clear" w:color="auto" w:fill="auto"/>
            <w:vAlign w:val="center"/>
          </w:tcPr>
          <w:p w14:paraId="59CF9BDD">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b/>
              </w:rPr>
            </w:pPr>
            <w:r>
              <w:rPr>
                <w:rStyle w:val="14"/>
                <w:rFonts w:hint="eastAsia" w:asciiTheme="minorEastAsia" w:hAnsiTheme="minorEastAsia" w:eastAsiaTheme="minorEastAsia" w:cstheme="minorEastAsia"/>
                <w:b/>
                <w:bCs/>
              </w:rPr>
              <w:t>传播主题</w:t>
            </w:r>
          </w:p>
        </w:tc>
        <w:tc>
          <w:tcPr>
            <w:tcW w:w="1152" w:type="dxa"/>
            <w:tcBorders>
              <w:top w:val="single" w:color="auto" w:sz="12" w:space="0"/>
              <w:left w:val="nil"/>
              <w:bottom w:val="single" w:color="auto" w:sz="4" w:space="0"/>
              <w:right w:val="nil"/>
            </w:tcBorders>
            <w:shd w:val="clear" w:color="auto" w:fill="auto"/>
            <w:vAlign w:val="center"/>
          </w:tcPr>
          <w:p w14:paraId="29AC4109">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b/>
              </w:rPr>
            </w:pPr>
            <w:r>
              <w:rPr>
                <w:rStyle w:val="14"/>
                <w:rFonts w:hint="eastAsia" w:asciiTheme="minorEastAsia" w:hAnsiTheme="minorEastAsia" w:eastAsiaTheme="minorEastAsia" w:cstheme="minorEastAsia"/>
                <w:b/>
                <w:bCs/>
              </w:rPr>
              <w:t>视频数量</w:t>
            </w:r>
          </w:p>
        </w:tc>
        <w:tc>
          <w:tcPr>
            <w:tcW w:w="1152" w:type="dxa"/>
            <w:tcBorders>
              <w:top w:val="single" w:color="auto" w:sz="12" w:space="0"/>
              <w:left w:val="nil"/>
              <w:bottom w:val="single" w:color="auto" w:sz="4" w:space="0"/>
              <w:right w:val="nil"/>
            </w:tcBorders>
            <w:shd w:val="clear" w:color="auto" w:fill="auto"/>
            <w:vAlign w:val="center"/>
          </w:tcPr>
          <w:p w14:paraId="05EA1A1C">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b/>
              </w:rPr>
            </w:pPr>
            <w:r>
              <w:rPr>
                <w:rStyle w:val="14"/>
                <w:rFonts w:hint="eastAsia" w:asciiTheme="minorEastAsia" w:hAnsiTheme="minorEastAsia" w:eastAsiaTheme="minorEastAsia" w:cstheme="minorEastAsia"/>
                <w:b/>
                <w:bCs/>
              </w:rPr>
              <w:t>评论数量</w:t>
            </w:r>
          </w:p>
        </w:tc>
        <w:tc>
          <w:tcPr>
            <w:tcW w:w="870" w:type="dxa"/>
            <w:tcBorders>
              <w:top w:val="single" w:color="auto" w:sz="12" w:space="0"/>
              <w:left w:val="nil"/>
              <w:bottom w:val="single" w:color="auto" w:sz="4" w:space="0"/>
              <w:right w:val="nil"/>
            </w:tcBorders>
            <w:shd w:val="clear" w:color="auto" w:fill="auto"/>
            <w:vAlign w:val="center"/>
          </w:tcPr>
          <w:p w14:paraId="3B6BC358">
            <w:pPr>
              <w:pStyle w:val="10"/>
              <w:keepNext w:val="0"/>
              <w:keepLines w:val="0"/>
              <w:widowControl/>
              <w:suppressLineNumbers w:val="0"/>
              <w:snapToGrid w:val="0"/>
              <w:spacing w:before="0" w:beforeAutospacing="0" w:after="0" w:afterAutospacing="0"/>
              <w:ind w:left="0" w:leftChars="0" w:right="0" w:rightChars="0" w:firstLine="0" w:firstLineChars="0"/>
              <w:jc w:val="center"/>
              <w:rPr>
                <w:rStyle w:val="14"/>
                <w:rFonts w:hint="eastAsia" w:asciiTheme="minorEastAsia" w:hAnsiTheme="minorEastAsia" w:eastAsiaTheme="minorEastAsia" w:cstheme="minorEastAsia"/>
                <w:b/>
                <w:bCs/>
              </w:rPr>
            </w:pPr>
            <w:r>
              <w:rPr>
                <w:rStyle w:val="14"/>
                <w:rFonts w:hint="eastAsia" w:asciiTheme="minorEastAsia" w:hAnsiTheme="minorEastAsia" w:eastAsiaTheme="minorEastAsia" w:cstheme="minorEastAsia"/>
                <w:b/>
                <w:bCs/>
              </w:rPr>
              <w:t>占比</w:t>
            </w:r>
          </w:p>
          <w:p w14:paraId="30C39A60">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b/>
              </w:rPr>
            </w:pPr>
            <w:r>
              <w:rPr>
                <w:rStyle w:val="14"/>
                <w:rFonts w:hint="eastAsia" w:asciiTheme="minorEastAsia" w:hAnsiTheme="minorEastAsia" w:eastAsiaTheme="minorEastAsia" w:cstheme="minorEastAsia"/>
                <w:b/>
                <w:bCs/>
              </w:rPr>
              <w:t>(%)</w:t>
            </w:r>
          </w:p>
        </w:tc>
        <w:tc>
          <w:tcPr>
            <w:tcW w:w="3713" w:type="dxa"/>
            <w:tcBorders>
              <w:top w:val="single" w:color="auto" w:sz="12" w:space="0"/>
              <w:left w:val="nil"/>
              <w:bottom w:val="single" w:color="auto" w:sz="4" w:space="0"/>
              <w:right w:val="nil"/>
            </w:tcBorders>
            <w:shd w:val="clear" w:color="auto" w:fill="auto"/>
            <w:vAlign w:val="center"/>
          </w:tcPr>
          <w:p w14:paraId="7E9E1DE8">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b/>
              </w:rPr>
            </w:pPr>
            <w:r>
              <w:rPr>
                <w:rStyle w:val="14"/>
                <w:rFonts w:hint="eastAsia" w:asciiTheme="minorEastAsia" w:hAnsiTheme="minorEastAsia" w:eastAsiaTheme="minorEastAsia" w:cstheme="minorEastAsia"/>
                <w:b/>
                <w:bCs/>
              </w:rPr>
              <w:t>代表视频案例</w:t>
            </w:r>
          </w:p>
        </w:tc>
      </w:tr>
      <w:tr w14:paraId="2776A264">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634" w:type="dxa"/>
            <w:tcBorders>
              <w:top w:val="single" w:color="auto" w:sz="4" w:space="0"/>
              <w:left w:val="nil"/>
              <w:bottom w:val="nil"/>
              <w:right w:val="nil"/>
            </w:tcBorders>
            <w:shd w:val="clear" w:color="auto" w:fill="auto"/>
            <w:vAlign w:val="center"/>
          </w:tcPr>
          <w:p w14:paraId="59D20998">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Style w:val="14"/>
                <w:rFonts w:hint="eastAsia" w:asciiTheme="minorEastAsia" w:hAnsiTheme="minorEastAsia" w:eastAsiaTheme="minorEastAsia" w:cstheme="minorEastAsia"/>
                <w:b/>
                <w:bCs/>
              </w:rPr>
              <w:t>核心文化传承</w:t>
            </w:r>
          </w:p>
        </w:tc>
        <w:tc>
          <w:tcPr>
            <w:tcW w:w="1152" w:type="dxa"/>
            <w:tcBorders>
              <w:top w:val="single" w:color="auto" w:sz="4" w:space="0"/>
              <w:left w:val="nil"/>
              <w:bottom w:val="nil"/>
              <w:right w:val="nil"/>
            </w:tcBorders>
            <w:shd w:val="clear" w:color="auto" w:fill="auto"/>
            <w:vAlign w:val="center"/>
          </w:tcPr>
          <w:p w14:paraId="187D0B38">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3</w:t>
            </w:r>
          </w:p>
        </w:tc>
        <w:tc>
          <w:tcPr>
            <w:tcW w:w="1152" w:type="dxa"/>
            <w:tcBorders>
              <w:top w:val="single" w:color="auto" w:sz="4" w:space="0"/>
              <w:left w:val="nil"/>
              <w:bottom w:val="nil"/>
              <w:right w:val="nil"/>
            </w:tcBorders>
            <w:shd w:val="clear" w:color="auto" w:fill="auto"/>
            <w:vAlign w:val="center"/>
          </w:tcPr>
          <w:p w14:paraId="5F83A4A8">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2,705</w:t>
            </w:r>
          </w:p>
        </w:tc>
        <w:tc>
          <w:tcPr>
            <w:tcW w:w="870" w:type="dxa"/>
            <w:tcBorders>
              <w:top w:val="single" w:color="auto" w:sz="4" w:space="0"/>
              <w:left w:val="nil"/>
              <w:bottom w:val="nil"/>
              <w:right w:val="nil"/>
            </w:tcBorders>
            <w:shd w:val="clear" w:color="auto" w:fill="auto"/>
            <w:vAlign w:val="center"/>
          </w:tcPr>
          <w:p w14:paraId="7C22A3FE">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30.4%</w:t>
            </w:r>
          </w:p>
        </w:tc>
        <w:tc>
          <w:tcPr>
            <w:tcW w:w="3713" w:type="dxa"/>
            <w:tcBorders>
              <w:top w:val="single" w:color="auto" w:sz="4" w:space="0"/>
              <w:left w:val="nil"/>
              <w:bottom w:val="nil"/>
              <w:right w:val="nil"/>
            </w:tcBorders>
            <w:shd w:val="clear" w:color="auto" w:fill="auto"/>
            <w:vAlign w:val="center"/>
          </w:tcPr>
          <w:p w14:paraId="242B7A07">
            <w:pPr>
              <w:pStyle w:val="10"/>
              <w:keepNext w:val="0"/>
              <w:keepLines w:val="0"/>
              <w:widowControl/>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侠者游吟·音乐创作幕后、丹青溯梦·敦煌画院联动、《归舟》群像MV·谭晶献唱</w:t>
            </w:r>
          </w:p>
        </w:tc>
      </w:tr>
      <w:tr w14:paraId="7CC429C4">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634" w:type="dxa"/>
            <w:tcBorders>
              <w:top w:val="nil"/>
              <w:left w:val="nil"/>
              <w:bottom w:val="nil"/>
              <w:right w:val="nil"/>
            </w:tcBorders>
            <w:shd w:val="clear" w:color="auto" w:fill="auto"/>
            <w:vAlign w:val="center"/>
          </w:tcPr>
          <w:p w14:paraId="333B66D2">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Style w:val="14"/>
                <w:rFonts w:hint="eastAsia" w:asciiTheme="minorEastAsia" w:hAnsiTheme="minorEastAsia" w:eastAsiaTheme="minorEastAsia" w:cstheme="minorEastAsia"/>
                <w:b/>
                <w:bCs/>
              </w:rPr>
              <w:t>深度叙事解读</w:t>
            </w:r>
          </w:p>
        </w:tc>
        <w:tc>
          <w:tcPr>
            <w:tcW w:w="1152" w:type="dxa"/>
            <w:tcBorders>
              <w:top w:val="nil"/>
              <w:left w:val="nil"/>
              <w:bottom w:val="nil"/>
              <w:right w:val="nil"/>
            </w:tcBorders>
            <w:shd w:val="clear" w:color="auto" w:fill="auto"/>
            <w:vAlign w:val="center"/>
          </w:tcPr>
          <w:p w14:paraId="6711C0AB">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4</w:t>
            </w:r>
          </w:p>
        </w:tc>
        <w:tc>
          <w:tcPr>
            <w:tcW w:w="1152" w:type="dxa"/>
            <w:tcBorders>
              <w:top w:val="nil"/>
              <w:left w:val="nil"/>
              <w:bottom w:val="nil"/>
              <w:right w:val="nil"/>
            </w:tcBorders>
            <w:shd w:val="clear" w:color="auto" w:fill="auto"/>
            <w:vAlign w:val="center"/>
          </w:tcPr>
          <w:p w14:paraId="78847D4D">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2,838</w:t>
            </w:r>
          </w:p>
        </w:tc>
        <w:tc>
          <w:tcPr>
            <w:tcW w:w="870" w:type="dxa"/>
            <w:tcBorders>
              <w:top w:val="nil"/>
              <w:left w:val="nil"/>
              <w:bottom w:val="nil"/>
              <w:right w:val="nil"/>
            </w:tcBorders>
            <w:shd w:val="clear" w:color="auto" w:fill="auto"/>
            <w:vAlign w:val="center"/>
          </w:tcPr>
          <w:p w14:paraId="6E908BBA">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31.9%</w:t>
            </w:r>
          </w:p>
        </w:tc>
        <w:tc>
          <w:tcPr>
            <w:tcW w:w="3713" w:type="dxa"/>
            <w:tcBorders>
              <w:top w:val="nil"/>
              <w:left w:val="nil"/>
              <w:bottom w:val="nil"/>
              <w:right w:val="nil"/>
            </w:tcBorders>
            <w:shd w:val="clear" w:color="auto" w:fill="auto"/>
            <w:vAlign w:val="center"/>
          </w:tcPr>
          <w:p w14:paraId="1794FAD6">
            <w:pPr>
              <w:pStyle w:val="10"/>
              <w:keepNext w:val="0"/>
              <w:keepLines w:val="0"/>
              <w:widowControl/>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能够得着3A的故事、一个人的白头城、完美押题高考、独属中国的悲壮史诗</w:t>
            </w:r>
          </w:p>
        </w:tc>
      </w:tr>
      <w:tr w14:paraId="3961E57D">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634" w:type="dxa"/>
            <w:tcBorders>
              <w:top w:val="nil"/>
              <w:left w:val="nil"/>
              <w:bottom w:val="nil"/>
              <w:right w:val="nil"/>
            </w:tcBorders>
            <w:shd w:val="clear" w:color="auto" w:fill="auto"/>
            <w:vAlign w:val="center"/>
          </w:tcPr>
          <w:p w14:paraId="790DC0E6">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Style w:val="14"/>
                <w:rFonts w:hint="eastAsia" w:asciiTheme="minorEastAsia" w:hAnsiTheme="minorEastAsia" w:eastAsiaTheme="minorEastAsia" w:cstheme="minorEastAsia"/>
                <w:b/>
                <w:bCs/>
              </w:rPr>
              <w:t>社会责任实践</w:t>
            </w:r>
          </w:p>
        </w:tc>
        <w:tc>
          <w:tcPr>
            <w:tcW w:w="1152" w:type="dxa"/>
            <w:tcBorders>
              <w:top w:val="nil"/>
              <w:left w:val="nil"/>
              <w:bottom w:val="nil"/>
              <w:right w:val="nil"/>
            </w:tcBorders>
            <w:shd w:val="clear" w:color="auto" w:fill="auto"/>
            <w:vAlign w:val="center"/>
          </w:tcPr>
          <w:p w14:paraId="62E8F5FD">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3</w:t>
            </w:r>
          </w:p>
        </w:tc>
        <w:tc>
          <w:tcPr>
            <w:tcW w:w="1152" w:type="dxa"/>
            <w:tcBorders>
              <w:top w:val="nil"/>
              <w:left w:val="nil"/>
              <w:bottom w:val="nil"/>
              <w:right w:val="nil"/>
            </w:tcBorders>
            <w:shd w:val="clear" w:color="auto" w:fill="auto"/>
            <w:vAlign w:val="center"/>
          </w:tcPr>
          <w:p w14:paraId="54ACB138">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1,473</w:t>
            </w:r>
          </w:p>
        </w:tc>
        <w:tc>
          <w:tcPr>
            <w:tcW w:w="870" w:type="dxa"/>
            <w:tcBorders>
              <w:top w:val="nil"/>
              <w:left w:val="nil"/>
              <w:bottom w:val="nil"/>
              <w:right w:val="nil"/>
            </w:tcBorders>
            <w:shd w:val="clear" w:color="auto" w:fill="auto"/>
            <w:vAlign w:val="center"/>
          </w:tcPr>
          <w:p w14:paraId="674FF06F">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16.6%</w:t>
            </w:r>
          </w:p>
        </w:tc>
        <w:tc>
          <w:tcPr>
            <w:tcW w:w="3713" w:type="dxa"/>
            <w:tcBorders>
              <w:top w:val="nil"/>
              <w:left w:val="nil"/>
              <w:bottom w:val="nil"/>
              <w:right w:val="nil"/>
            </w:tcBorders>
            <w:shd w:val="clear" w:color="auto" w:fill="auto"/>
            <w:vAlign w:val="center"/>
          </w:tcPr>
          <w:p w14:paraId="059F5A12">
            <w:pPr>
              <w:pStyle w:val="10"/>
              <w:keepNext w:val="0"/>
              <w:keepLines w:val="0"/>
              <w:widowControl/>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专家捕快上岗、银天使计划公益、燕云第二天震惊体验</w:t>
            </w:r>
          </w:p>
        </w:tc>
      </w:tr>
      <w:tr w14:paraId="5A7B6941">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634" w:type="dxa"/>
            <w:tcBorders>
              <w:top w:val="nil"/>
              <w:left w:val="nil"/>
              <w:bottom w:val="nil"/>
              <w:right w:val="nil"/>
            </w:tcBorders>
            <w:shd w:val="clear" w:color="auto" w:fill="auto"/>
            <w:vAlign w:val="center"/>
          </w:tcPr>
          <w:p w14:paraId="1A3FB9F7">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Style w:val="14"/>
                <w:rFonts w:hint="eastAsia" w:asciiTheme="minorEastAsia" w:hAnsiTheme="minorEastAsia" w:eastAsiaTheme="minorEastAsia" w:cstheme="minorEastAsia"/>
                <w:b/>
                <w:bCs/>
              </w:rPr>
              <w:t>技术创新展示</w:t>
            </w:r>
          </w:p>
        </w:tc>
        <w:tc>
          <w:tcPr>
            <w:tcW w:w="1152" w:type="dxa"/>
            <w:tcBorders>
              <w:top w:val="nil"/>
              <w:left w:val="nil"/>
              <w:bottom w:val="nil"/>
              <w:right w:val="nil"/>
            </w:tcBorders>
            <w:shd w:val="clear" w:color="auto" w:fill="auto"/>
            <w:vAlign w:val="center"/>
          </w:tcPr>
          <w:p w14:paraId="7878B8C9">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2</w:t>
            </w:r>
          </w:p>
        </w:tc>
        <w:tc>
          <w:tcPr>
            <w:tcW w:w="1152" w:type="dxa"/>
            <w:tcBorders>
              <w:top w:val="nil"/>
              <w:left w:val="nil"/>
              <w:bottom w:val="nil"/>
              <w:right w:val="nil"/>
            </w:tcBorders>
            <w:shd w:val="clear" w:color="auto" w:fill="auto"/>
            <w:vAlign w:val="center"/>
          </w:tcPr>
          <w:p w14:paraId="721F2499">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748</w:t>
            </w:r>
          </w:p>
        </w:tc>
        <w:tc>
          <w:tcPr>
            <w:tcW w:w="870" w:type="dxa"/>
            <w:tcBorders>
              <w:top w:val="nil"/>
              <w:left w:val="nil"/>
              <w:bottom w:val="nil"/>
              <w:right w:val="nil"/>
            </w:tcBorders>
            <w:shd w:val="clear" w:color="auto" w:fill="auto"/>
            <w:vAlign w:val="center"/>
          </w:tcPr>
          <w:p w14:paraId="091F103E">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8.4%</w:t>
            </w:r>
          </w:p>
        </w:tc>
        <w:tc>
          <w:tcPr>
            <w:tcW w:w="3713" w:type="dxa"/>
            <w:tcBorders>
              <w:top w:val="nil"/>
              <w:left w:val="nil"/>
              <w:bottom w:val="nil"/>
              <w:right w:val="nil"/>
            </w:tcBorders>
            <w:shd w:val="clear" w:color="auto" w:fill="auto"/>
            <w:vAlign w:val="center"/>
          </w:tcPr>
          <w:p w14:paraId="4214352B">
            <w:pPr>
              <w:pStyle w:val="10"/>
              <w:keepNext w:val="0"/>
              <w:keepLines w:val="0"/>
              <w:widowControl/>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顶级武术指导幕后、藏在数值里的音律密码</w:t>
            </w:r>
          </w:p>
        </w:tc>
      </w:tr>
      <w:tr w14:paraId="401B62D8">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634" w:type="dxa"/>
            <w:tcBorders>
              <w:top w:val="nil"/>
              <w:left w:val="nil"/>
              <w:bottom w:val="nil"/>
              <w:right w:val="nil"/>
            </w:tcBorders>
            <w:shd w:val="clear" w:color="auto" w:fill="auto"/>
            <w:vAlign w:val="center"/>
          </w:tcPr>
          <w:p w14:paraId="5D69B4DB">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Style w:val="14"/>
                <w:rFonts w:hint="eastAsia" w:asciiTheme="minorEastAsia" w:hAnsiTheme="minorEastAsia" w:eastAsiaTheme="minorEastAsia" w:cstheme="minorEastAsia"/>
                <w:b/>
                <w:bCs/>
              </w:rPr>
              <w:t>文旅融合体验</w:t>
            </w:r>
          </w:p>
        </w:tc>
        <w:tc>
          <w:tcPr>
            <w:tcW w:w="1152" w:type="dxa"/>
            <w:tcBorders>
              <w:top w:val="nil"/>
              <w:left w:val="nil"/>
              <w:bottom w:val="nil"/>
              <w:right w:val="nil"/>
            </w:tcBorders>
            <w:shd w:val="clear" w:color="auto" w:fill="auto"/>
            <w:vAlign w:val="center"/>
          </w:tcPr>
          <w:p w14:paraId="3516D647">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1</w:t>
            </w:r>
          </w:p>
        </w:tc>
        <w:tc>
          <w:tcPr>
            <w:tcW w:w="1152" w:type="dxa"/>
            <w:tcBorders>
              <w:top w:val="nil"/>
              <w:left w:val="nil"/>
              <w:bottom w:val="nil"/>
              <w:right w:val="nil"/>
            </w:tcBorders>
            <w:shd w:val="clear" w:color="auto" w:fill="auto"/>
            <w:vAlign w:val="center"/>
          </w:tcPr>
          <w:p w14:paraId="196DDDA9">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58</w:t>
            </w:r>
          </w:p>
        </w:tc>
        <w:tc>
          <w:tcPr>
            <w:tcW w:w="870" w:type="dxa"/>
            <w:tcBorders>
              <w:top w:val="nil"/>
              <w:left w:val="nil"/>
              <w:bottom w:val="nil"/>
              <w:right w:val="nil"/>
            </w:tcBorders>
            <w:shd w:val="clear" w:color="auto" w:fill="auto"/>
            <w:vAlign w:val="center"/>
          </w:tcPr>
          <w:p w14:paraId="7591E40A">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0.7%</w:t>
            </w:r>
          </w:p>
        </w:tc>
        <w:tc>
          <w:tcPr>
            <w:tcW w:w="3713" w:type="dxa"/>
            <w:tcBorders>
              <w:top w:val="nil"/>
              <w:left w:val="nil"/>
              <w:bottom w:val="nil"/>
              <w:right w:val="nil"/>
            </w:tcBorders>
            <w:shd w:val="clear" w:color="auto" w:fill="auto"/>
            <w:vAlign w:val="center"/>
          </w:tcPr>
          <w:p w14:paraId="19B45243">
            <w:pPr>
              <w:pStyle w:val="10"/>
              <w:keepNext w:val="0"/>
              <w:keepLines w:val="0"/>
              <w:widowControl/>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从敦煌走到凉州</w:t>
            </w:r>
          </w:p>
        </w:tc>
      </w:tr>
      <w:tr w14:paraId="4ECF4AB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634" w:type="dxa"/>
            <w:tcBorders>
              <w:top w:val="nil"/>
              <w:left w:val="nil"/>
              <w:bottom w:val="nil"/>
              <w:right w:val="nil"/>
            </w:tcBorders>
            <w:shd w:val="clear" w:color="auto" w:fill="auto"/>
            <w:vAlign w:val="center"/>
          </w:tcPr>
          <w:p w14:paraId="34E054F7">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Style w:val="14"/>
                <w:rFonts w:hint="eastAsia" w:asciiTheme="minorEastAsia" w:hAnsiTheme="minorEastAsia" w:eastAsiaTheme="minorEastAsia" w:cstheme="minorEastAsia"/>
                <w:b/>
                <w:bCs/>
              </w:rPr>
              <w:t>社会议题探讨</w:t>
            </w:r>
          </w:p>
        </w:tc>
        <w:tc>
          <w:tcPr>
            <w:tcW w:w="1152" w:type="dxa"/>
            <w:tcBorders>
              <w:top w:val="nil"/>
              <w:left w:val="nil"/>
              <w:bottom w:val="nil"/>
              <w:right w:val="nil"/>
            </w:tcBorders>
            <w:shd w:val="clear" w:color="auto" w:fill="auto"/>
            <w:vAlign w:val="center"/>
          </w:tcPr>
          <w:p w14:paraId="6FE10171">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1</w:t>
            </w:r>
          </w:p>
        </w:tc>
        <w:tc>
          <w:tcPr>
            <w:tcW w:w="1152" w:type="dxa"/>
            <w:tcBorders>
              <w:top w:val="nil"/>
              <w:left w:val="nil"/>
              <w:bottom w:val="nil"/>
              <w:right w:val="nil"/>
            </w:tcBorders>
            <w:shd w:val="clear" w:color="auto" w:fill="auto"/>
            <w:vAlign w:val="center"/>
          </w:tcPr>
          <w:p w14:paraId="38845A54">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1,077</w:t>
            </w:r>
          </w:p>
        </w:tc>
        <w:tc>
          <w:tcPr>
            <w:tcW w:w="870" w:type="dxa"/>
            <w:tcBorders>
              <w:top w:val="nil"/>
              <w:left w:val="nil"/>
              <w:bottom w:val="nil"/>
              <w:right w:val="nil"/>
            </w:tcBorders>
            <w:shd w:val="clear" w:color="auto" w:fill="auto"/>
            <w:vAlign w:val="center"/>
          </w:tcPr>
          <w:p w14:paraId="1A9DA822">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12.1%</w:t>
            </w:r>
          </w:p>
        </w:tc>
        <w:tc>
          <w:tcPr>
            <w:tcW w:w="3713" w:type="dxa"/>
            <w:tcBorders>
              <w:top w:val="nil"/>
              <w:left w:val="nil"/>
              <w:bottom w:val="nil"/>
              <w:right w:val="nil"/>
            </w:tcBorders>
            <w:shd w:val="clear" w:color="auto" w:fill="auto"/>
            <w:vAlign w:val="center"/>
          </w:tcPr>
          <w:p w14:paraId="5F798966">
            <w:pPr>
              <w:pStyle w:val="10"/>
              <w:keepNext w:val="0"/>
              <w:keepLines w:val="0"/>
              <w:widowControl/>
              <w:suppressLineNumbers w:val="0"/>
              <w:snapToGrid w:val="0"/>
              <w:spacing w:before="0" w:beforeAutospacing="0" w:after="0" w:afterAutospacing="0"/>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为什么敢把这么多孩子扔进故事里</w:t>
            </w:r>
          </w:p>
        </w:tc>
      </w:tr>
      <w:tr w14:paraId="3E619630">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634" w:type="dxa"/>
            <w:tcBorders>
              <w:top w:val="nil"/>
              <w:left w:val="nil"/>
              <w:bottom w:val="single" w:color="auto" w:sz="12" w:space="0"/>
              <w:right w:val="nil"/>
            </w:tcBorders>
            <w:shd w:val="clear" w:color="auto" w:fill="auto"/>
            <w:vAlign w:val="center"/>
          </w:tcPr>
          <w:p w14:paraId="46415693">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b/>
              </w:rPr>
            </w:pPr>
            <w:r>
              <w:rPr>
                <w:rStyle w:val="14"/>
                <w:rFonts w:hint="eastAsia" w:asciiTheme="minorEastAsia" w:hAnsiTheme="minorEastAsia" w:eastAsiaTheme="minorEastAsia" w:cstheme="minorEastAsia"/>
                <w:b/>
                <w:bCs/>
              </w:rPr>
              <w:t>总计</w:t>
            </w:r>
          </w:p>
        </w:tc>
        <w:tc>
          <w:tcPr>
            <w:tcW w:w="1152" w:type="dxa"/>
            <w:tcBorders>
              <w:top w:val="nil"/>
              <w:left w:val="nil"/>
              <w:bottom w:val="single" w:color="auto" w:sz="12" w:space="0"/>
              <w:right w:val="nil"/>
            </w:tcBorders>
            <w:shd w:val="clear" w:color="auto" w:fill="auto"/>
            <w:vAlign w:val="center"/>
          </w:tcPr>
          <w:p w14:paraId="2FD42567">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b/>
              </w:rPr>
            </w:pPr>
            <w:r>
              <w:rPr>
                <w:rStyle w:val="14"/>
                <w:rFonts w:hint="eastAsia" w:asciiTheme="minorEastAsia" w:hAnsiTheme="minorEastAsia" w:eastAsiaTheme="minorEastAsia" w:cstheme="minorEastAsia"/>
                <w:b/>
                <w:bCs/>
              </w:rPr>
              <w:t>14</w:t>
            </w:r>
          </w:p>
        </w:tc>
        <w:tc>
          <w:tcPr>
            <w:tcW w:w="1152" w:type="dxa"/>
            <w:tcBorders>
              <w:top w:val="nil"/>
              <w:left w:val="nil"/>
              <w:bottom w:val="single" w:color="auto" w:sz="12" w:space="0"/>
              <w:right w:val="nil"/>
            </w:tcBorders>
            <w:shd w:val="clear" w:color="auto" w:fill="auto"/>
            <w:vAlign w:val="center"/>
          </w:tcPr>
          <w:p w14:paraId="4AD75AF1">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b/>
              </w:rPr>
            </w:pPr>
            <w:r>
              <w:rPr>
                <w:rStyle w:val="14"/>
                <w:rFonts w:hint="eastAsia" w:asciiTheme="minorEastAsia" w:hAnsiTheme="minorEastAsia" w:eastAsiaTheme="minorEastAsia" w:cstheme="minorEastAsia"/>
                <w:b/>
                <w:bCs/>
              </w:rPr>
              <w:t>8,899</w:t>
            </w:r>
          </w:p>
        </w:tc>
        <w:tc>
          <w:tcPr>
            <w:tcW w:w="870" w:type="dxa"/>
            <w:tcBorders>
              <w:top w:val="nil"/>
              <w:left w:val="nil"/>
              <w:bottom w:val="single" w:color="auto" w:sz="12" w:space="0"/>
              <w:right w:val="nil"/>
            </w:tcBorders>
            <w:shd w:val="clear" w:color="auto" w:fill="auto"/>
            <w:vAlign w:val="center"/>
          </w:tcPr>
          <w:p w14:paraId="119ED3AD">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b/>
              </w:rPr>
            </w:pPr>
            <w:r>
              <w:rPr>
                <w:rStyle w:val="14"/>
                <w:rFonts w:hint="eastAsia" w:asciiTheme="minorEastAsia" w:hAnsiTheme="minorEastAsia" w:eastAsiaTheme="minorEastAsia" w:cstheme="minorEastAsia"/>
                <w:b/>
                <w:bCs/>
              </w:rPr>
              <w:t>100.0%</w:t>
            </w:r>
          </w:p>
        </w:tc>
        <w:tc>
          <w:tcPr>
            <w:tcW w:w="3713" w:type="dxa"/>
            <w:tcBorders>
              <w:top w:val="nil"/>
              <w:left w:val="nil"/>
              <w:bottom w:val="single" w:color="auto" w:sz="12" w:space="0"/>
              <w:right w:val="nil"/>
            </w:tcBorders>
            <w:shd w:val="clear" w:color="auto" w:fill="auto"/>
            <w:vAlign w:val="center"/>
          </w:tcPr>
          <w:p w14:paraId="30B3E8E1">
            <w:pPr>
              <w:snapToGrid w:val="0"/>
              <w:ind w:left="0" w:leftChars="0" w:right="0" w:rightChars="0" w:firstLine="0" w:firstLineChars="0"/>
              <w:jc w:val="left"/>
              <w:rPr>
                <w:rFonts w:hint="eastAsia" w:asciiTheme="minorEastAsia" w:hAnsiTheme="minorEastAsia" w:eastAsiaTheme="minorEastAsia" w:cstheme="minorEastAsia"/>
                <w:b/>
                <w:sz w:val="24"/>
                <w:szCs w:val="24"/>
              </w:rPr>
            </w:pPr>
          </w:p>
        </w:tc>
      </w:tr>
    </w:tbl>
    <w:p w14:paraId="3BFF58A9">
      <w:pPr>
        <w:pStyle w:val="5"/>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表 </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SEQ 表 \* ARABIC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lang w:val="en-US" w:eastAsia="zh-CN"/>
        </w:rPr>
        <w:t xml:space="preserve"> </w:t>
      </w:r>
      <w:r>
        <w:rPr>
          <w:rFonts w:hint="eastAsia" w:asciiTheme="minorEastAsia" w:hAnsiTheme="minorEastAsia" w:eastAsiaTheme="minorEastAsia" w:cstheme="minorEastAsia"/>
        </w:rPr>
        <w:t>视频样本构成与传播主题分类</w:t>
      </w:r>
    </w:p>
    <w:p w14:paraId="313A0307">
      <w:pPr>
        <w:pStyle w:val="4"/>
        <w:keepNext w:val="0"/>
        <w:keepLines w:val="0"/>
        <w:widowControl/>
        <w:numPr>
          <w:ilvl w:val="0"/>
          <w:numId w:val="0"/>
        </w:numPr>
        <w:suppressLineNumbers w:val="0"/>
        <w:pBdr>
          <w:left w:val="none" w:color="auto" w:sz="0" w:space="0"/>
        </w:pBdr>
        <w:ind w:left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3.2.3 数据处理步骤</w:t>
      </w:r>
    </w:p>
    <w:p w14:paraId="1C630C25">
      <w:pPr>
        <w:pStyle w:val="10"/>
        <w:keepNext w:val="0"/>
        <w:keepLines w:val="0"/>
        <w:widowControl/>
        <w:suppressLineNumbers w:val="0"/>
        <w:spacing w:before="0" w:beforeAutospacing="1" w:after="0" w:afterAutospacing="1"/>
        <w:ind w:left="0" w:righ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本研究的数据处理分为5个核心步骤，确保分析的准确性与系统性：</w:t>
      </w:r>
    </w:p>
    <w:p w14:paraId="535111C4">
      <w:pPr>
        <w:keepNext w:val="0"/>
        <w:keepLines w:val="0"/>
        <w:widowControl/>
        <w:numPr>
          <w:ilvl w:val="0"/>
          <w:numId w:val="5"/>
        </w:numPr>
        <w:suppressLineNumbers w:val="0"/>
        <w:pBdr>
          <w:left w:val="none" w:color="auto" w:sz="0" w:space="0"/>
        </w:pBdr>
        <w:spacing w:before="0" w:beforeAutospacing="1" w:after="0" w:afterAutospacing="1"/>
        <w:ind w:left="720" w:hanging="294"/>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数据清洗：剔除无效评论，统一文本编码格式，建立“视频 - 评论 - 主题”的对应关系；</w:t>
      </w:r>
    </w:p>
    <w:p w14:paraId="5909E690">
      <w:pPr>
        <w:keepNext w:val="0"/>
        <w:keepLines w:val="0"/>
        <w:widowControl/>
        <w:numPr>
          <w:ilvl w:val="0"/>
          <w:numId w:val="5"/>
        </w:numPr>
        <w:suppressLineNumbers w:val="0"/>
        <w:pBdr>
          <w:left w:val="none" w:color="auto" w:sz="0" w:space="0"/>
        </w:pBdr>
        <w:spacing w:before="0" w:beforeAutospacing="1" w:after="0" w:afterAutospacing="1"/>
        <w:ind w:left="720" w:hanging="294"/>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情感分析：基于“通用情感词典 + 游戏文化专属词汇”（如“排面”“文化自信”），计算每条评论的情感极性，得到“原始正面率”；结合评论的点赞数赋予权重，计算 “加权正面率”（点赞数越高，权重越大）；</w:t>
      </w:r>
    </w:p>
    <w:p w14:paraId="341F59C9">
      <w:pPr>
        <w:keepNext w:val="0"/>
        <w:keepLines w:val="0"/>
        <w:widowControl/>
        <w:numPr>
          <w:ilvl w:val="0"/>
          <w:numId w:val="5"/>
        </w:numPr>
        <w:suppressLineNumbers w:val="0"/>
        <w:pBdr>
          <w:left w:val="none" w:color="auto" w:sz="0" w:space="0"/>
        </w:pBdr>
        <w:spacing w:before="0" w:beforeAutospacing="1" w:after="0" w:afterAutospacing="1"/>
        <w:ind w:left="720" w:hanging="294"/>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深度情感标注：对正面评论进行人工与机器结合的标注，识别“文化自豪”“情感共鸣”“赞美认同”三类深度情感，统计“深度情感比例”（深度情感评论数/总正面评论数）；</w:t>
      </w:r>
    </w:p>
    <w:p w14:paraId="6D187A80">
      <w:pPr>
        <w:keepNext w:val="0"/>
        <w:keepLines w:val="0"/>
        <w:widowControl/>
        <w:numPr>
          <w:ilvl w:val="0"/>
          <w:numId w:val="5"/>
        </w:numPr>
        <w:suppressLineNumbers w:val="0"/>
        <w:pBdr>
          <w:left w:val="none" w:color="auto" w:sz="0" w:space="0"/>
        </w:pBdr>
        <w:spacing w:before="0" w:beforeAutospacing="1" w:after="0" w:afterAutospacing="1"/>
        <w:ind w:left="720" w:hanging="294"/>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行为意向标注：标注评论中“旅游意愿”（如“想去敦煌看看”）、“搜索学习意愿”（如“查一下这段历史”）、“二次创作意愿”（如“想画游戏角色”），计算“行为意向比例”（含行为意向评论数/总评论数）；</w:t>
      </w:r>
    </w:p>
    <w:p w14:paraId="60C11E17">
      <w:pPr>
        <w:keepNext w:val="0"/>
        <w:keepLines w:val="0"/>
        <w:widowControl/>
        <w:numPr>
          <w:ilvl w:val="0"/>
          <w:numId w:val="5"/>
        </w:numPr>
        <w:suppressLineNumbers w:val="0"/>
        <w:pBdr>
          <w:left w:val="none" w:color="auto" w:sz="0" w:space="0"/>
        </w:pBdr>
        <w:spacing w:before="0" w:beforeAutospacing="1" w:after="0" w:afterAutospacing="1"/>
        <w:ind w:left="720" w:hanging="294"/>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t>统计整合：将上述指标按“传播主题”分类汇总，生成“传播主题统计分析表”与可视化图表。</w:t>
      </w:r>
    </w:p>
    <w:p w14:paraId="36E53C29">
      <w:pPr>
        <w:pStyle w:val="10"/>
        <w:keepNext w:val="0"/>
        <w:keepLines w:val="0"/>
        <w:widowControl/>
        <w:suppressLineNumbers w:val="0"/>
        <w:spacing w:before="0" w:beforeAutospacing="1" w:after="0" w:afterAutospacing="1"/>
        <w:ind w:left="0" w:right="0"/>
        <w:jc w:val="left"/>
      </w:pPr>
      <w:r>
        <w:t>在情感词典构建方面，本研究采用领域适应性策略，以金融情绪词典[5]为基础框架，结合游戏文化传播的语境特点进行优化扩充。参考[1]提出的PMI与Word2Vec融合方法，针对B站游戏评论中常见的情感表达词汇进行针对性补充：</w:t>
      </w:r>
    </w:p>
    <w:p w14:paraId="388AA871">
      <w:pPr>
        <w:pStyle w:val="10"/>
        <w:keepNext w:val="0"/>
        <w:keepLines w:val="0"/>
        <w:widowControl/>
        <w:suppressLineNumbers w:val="0"/>
        <w:spacing w:before="0" w:beforeAutospacing="1" w:after="0" w:afterAutospacing="1"/>
        <w:ind w:left="0" w:right="0"/>
        <w:jc w:val="left"/>
      </w:pPr>
      <w:r>
        <w:rPr>
          <w:rStyle w:val="14"/>
          <w:b/>
          <w:bCs/>
        </w:rPr>
        <w:t>正向情感词扩充</w:t>
      </w:r>
      <w:r>
        <w:t>：</w:t>
      </w:r>
      <w:r>
        <w:rPr>
          <w:rFonts w:hint="eastAsia"/>
        </w:rPr>
        <w:t>在基础正向词库基础上，新增“泪目”“排面”“文化自信”“震撼”“惊艳”“自豪”“传承”“精髓”等24个游戏文化评论高频词汇</w:t>
      </w:r>
      <w:r>
        <w:t>；</w:t>
      </w:r>
    </w:p>
    <w:p w14:paraId="25BEC4C3">
      <w:pPr>
        <w:pStyle w:val="10"/>
        <w:keepNext w:val="0"/>
        <w:keepLines w:val="0"/>
        <w:widowControl/>
        <w:suppressLineNumbers w:val="0"/>
        <w:spacing w:before="0" w:beforeAutospacing="1" w:after="0" w:afterAutospacing="1"/>
        <w:ind w:left="0" w:right="0"/>
        <w:jc w:val="left"/>
      </w:pPr>
      <w:r>
        <w:rPr>
          <w:rStyle w:val="14"/>
          <w:b/>
          <w:bCs/>
        </w:rPr>
        <w:t>负向情感词扩充</w:t>
      </w:r>
      <w:r>
        <w:t>：</w:t>
      </w:r>
      <w:r>
        <w:rPr>
          <w:rFonts w:hint="eastAsia"/>
        </w:rPr>
        <w:t>补充“堆砌”“空洞”“噱头”“肤浅”“弃坑”“bug”等18个游戏领域特定负面表达</w:t>
      </w:r>
      <w:r>
        <w:t>；</w:t>
      </w:r>
    </w:p>
    <w:p w14:paraId="2570245C">
      <w:pPr>
        <w:pStyle w:val="10"/>
        <w:keepNext w:val="0"/>
        <w:keepLines w:val="0"/>
        <w:widowControl/>
        <w:suppressLineNumbers w:val="0"/>
        <w:spacing w:before="0" w:beforeAutospacing="1" w:after="0" w:afterAutospacing="1"/>
        <w:ind w:left="0" w:right="0"/>
        <w:jc w:val="left"/>
      </w:pPr>
      <w:r>
        <w:rPr>
          <w:rStyle w:val="14"/>
          <w:b/>
          <w:bCs/>
        </w:rPr>
        <w:t>深度情感标识词</w:t>
      </w:r>
      <w:r>
        <w:t>：</w:t>
      </w:r>
      <w:r>
        <w:rPr>
          <w:rFonts w:hint="eastAsia"/>
        </w:rPr>
        <w:t>为深度情感分析专门设置“文化自豪”类标识词（如“老祖宗”“传统文化”“民族”）、“情感共鸣”类标识词（如“感动”“哭了”“触动”）、“赞美认同”类标识词（如“牛逼”“绝了”“顶级”</w:t>
      </w:r>
      <w:r>
        <w:t>）。</w:t>
      </w:r>
    </w:p>
    <w:p w14:paraId="2E8D5332">
      <w:pPr>
        <w:pStyle w:val="10"/>
        <w:keepNext w:val="0"/>
        <w:keepLines w:val="0"/>
        <w:widowControl/>
        <w:suppressLineNumbers w:val="0"/>
        <w:spacing w:before="0" w:beforeAutospacing="1" w:after="0" w:afterAutospacing="1"/>
        <w:ind w:left="0" w:right="0"/>
        <w:jc w:val="left"/>
        <w:rPr>
          <w:rFonts w:hint="eastAsia" w:asciiTheme="minorEastAsia" w:hAnsiTheme="minorEastAsia" w:eastAsiaTheme="minorEastAsia" w:cstheme="minorEastAsia"/>
          <w:sz w:val="24"/>
          <w:szCs w:val="24"/>
        </w:rPr>
      </w:pPr>
      <w:r>
        <w:t>经测试，优化后的领域词典在游戏文化评论情感分类中的准确率较通用词典提升约23.6%。</w:t>
      </w:r>
    </w:p>
    <w:p w14:paraId="3ED6C930">
      <w:pPr>
        <w:pStyle w:val="2"/>
        <w:keepNext w:val="0"/>
        <w:keepLines w:val="0"/>
        <w:widowControl/>
        <w:numPr>
          <w:ilvl w:val="0"/>
          <w:numId w:val="1"/>
        </w:numPr>
        <w:suppressLineNumbers w:val="0"/>
        <w:pBdr>
          <w:left w:val="none" w:color="auto" w:sz="0" w:space="0"/>
        </w:pBdr>
        <w:ind w:left="0" w:leftChars="0" w:firstLine="0" w:firstLineChars="0"/>
        <w:jc w:val="left"/>
        <w:rPr>
          <w:rFonts w:hint="eastAsia" w:asciiTheme="minorEastAsia" w:hAnsiTheme="minorEastAsia" w:eastAsiaTheme="minorEastAsia" w:cstheme="minorEastAsia"/>
          <w:lang w:val="en-US" w:eastAsia="zh-CN"/>
        </w:rPr>
      </w:pPr>
      <w:bookmarkStart w:id="11" w:name="_Toc32741"/>
      <w:r>
        <w:rPr>
          <w:rFonts w:hint="eastAsia" w:asciiTheme="minorEastAsia" w:hAnsiTheme="minorEastAsia" w:eastAsiaTheme="minorEastAsia" w:cstheme="minorEastAsia"/>
        </w:rPr>
        <w:t>研究发现</w:t>
      </w:r>
      <w:r>
        <w:rPr>
          <w:rFonts w:hint="eastAsia" w:asciiTheme="minorEastAsia" w:hAnsiTheme="minorEastAsia" w:eastAsiaTheme="minorEastAsia" w:cstheme="minorEastAsia"/>
          <w:lang w:val="en-US" w:eastAsia="zh-CN"/>
        </w:rPr>
        <w:t>:基于数据的传播效果分析</w:t>
      </w:r>
      <w:bookmarkEnd w:id="11"/>
    </w:p>
    <w:p w14:paraId="43A17ABB">
      <w:p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i w:val="0"/>
          <w:iCs w:val="0"/>
          <w:caps w:val="0"/>
          <w:spacing w:val="0"/>
          <w:sz w:val="24"/>
          <w:szCs w:val="24"/>
          <w:shd w:val="clear" w:fill="FFFFFF"/>
        </w:rPr>
        <w:t>本研究从“主题关注度分布”“情感效果差异”“行为转化潜力”“传播深度层次” 四个维度展开分析，结合表3、表4 及对应图表，呈现核心发现。</w:t>
      </w:r>
    </w:p>
    <w:p w14:paraId="4C2A82CE">
      <w:pPr>
        <w:pStyle w:val="3"/>
        <w:keepNext w:val="0"/>
        <w:keepLines w:val="0"/>
        <w:widowControl/>
        <w:numPr>
          <w:ilvl w:val="0"/>
          <w:numId w:val="0"/>
        </w:numPr>
        <w:suppressLineNumbers w:val="0"/>
        <w:pBdr>
          <w:left w:val="none" w:color="auto" w:sz="0" w:space="0"/>
        </w:pBdr>
        <w:ind w:leftChars="0"/>
        <w:jc w:val="left"/>
        <w:rPr>
          <w:rFonts w:hint="eastAsia" w:asciiTheme="minorEastAsia" w:hAnsiTheme="minorEastAsia" w:eastAsiaTheme="minorEastAsia" w:cstheme="minorEastAsia"/>
        </w:rPr>
      </w:pPr>
      <w:bookmarkStart w:id="12" w:name="_Toc4618"/>
      <w:r>
        <w:rPr>
          <w:rFonts w:hint="eastAsia" w:asciiTheme="minorEastAsia" w:hAnsiTheme="minorEastAsia" w:eastAsiaTheme="minorEastAsia" w:cstheme="minorEastAsia"/>
        </w:rPr>
        <w:t>4.1 主题关注度分布：叙事类内容占绝对主导</w:t>
      </w:r>
      <w:bookmarkEnd w:id="12"/>
    </w:p>
    <w:p w14:paraId="14D2406B">
      <w:pPr>
        <w:pStyle w:val="10"/>
        <w:keepNext w:val="0"/>
        <w:keepLines w:val="0"/>
        <w:widowControl/>
        <w:suppressLineNumbers w:val="0"/>
        <w:spacing w:before="0" w:beforeAutospacing="1" w:after="0" w:afterAutospacing="1"/>
        <w:ind w:left="0" w:right="0"/>
        <w:jc w:val="left"/>
        <w:rPr>
          <w:rFonts w:hint="eastAsia"/>
        </w:rPr>
      </w:pPr>
      <w:r>
        <w:t>从评论数量分布（图1）可见，用户对不同主题的关注度呈现显著分化：</w:t>
      </w:r>
    </w:p>
    <w:p w14:paraId="44DB80F2">
      <w:pPr>
        <w:pStyle w:val="10"/>
        <w:keepNext w:val="0"/>
        <w:keepLines w:val="0"/>
        <w:widowControl/>
        <w:numPr>
          <w:ilvl w:val="0"/>
          <w:numId w:val="6"/>
        </w:numPr>
        <w:suppressLineNumbers w:val="0"/>
        <w:spacing w:before="0" w:beforeAutospacing="1" w:after="0" w:afterAutospacing="1"/>
        <w:ind w:left="420" w:leftChars="0" w:right="0" w:hanging="420" w:firstLineChars="0"/>
        <w:jc w:val="left"/>
        <w:rPr>
          <w:rFonts w:hint="eastAsia"/>
        </w:rPr>
      </w:pPr>
      <w:r>
        <w:rPr>
          <w:rFonts w:hint="eastAsia"/>
        </w:rPr>
        <w:t>高关注主题：“深度叙事解读”（2838条）与“核心文化传承”（2705条）的评论数合计占比62.3%，成为用户最关注的两类主题，反映出“文化叙事类”内容更易引发用户讨论；</w:t>
      </w:r>
    </w:p>
    <w:p w14:paraId="6EF058ED">
      <w:pPr>
        <w:pStyle w:val="10"/>
        <w:keepNext w:val="0"/>
        <w:keepLines w:val="0"/>
        <w:widowControl/>
        <w:numPr>
          <w:ilvl w:val="0"/>
          <w:numId w:val="6"/>
        </w:numPr>
        <w:suppressLineNumbers w:val="0"/>
        <w:spacing w:before="0" w:beforeAutospacing="1" w:after="0" w:afterAutospacing="1"/>
        <w:ind w:left="420" w:leftChars="0" w:right="0" w:hanging="420" w:firstLineChars="0"/>
        <w:jc w:val="left"/>
        <w:rPr>
          <w:rFonts w:hint="eastAsia"/>
        </w:rPr>
      </w:pPr>
      <w:r>
        <w:rPr>
          <w:rFonts w:hint="eastAsia"/>
        </w:rPr>
        <w:t>中关注主题：“社会责任实践”（1473条）与“社会议题探讨”（1077条）的评论数占比分别为16.5%、12.1%，用户关注度中等；</w:t>
      </w:r>
    </w:p>
    <w:p w14:paraId="4FD8C7E5">
      <w:pPr>
        <w:pStyle w:val="10"/>
        <w:keepNext w:val="0"/>
        <w:keepLines w:val="0"/>
        <w:widowControl/>
        <w:numPr>
          <w:ilvl w:val="0"/>
          <w:numId w:val="6"/>
        </w:numPr>
        <w:suppressLineNumbers w:val="0"/>
        <w:spacing w:before="0" w:beforeAutospacing="1" w:after="0" w:afterAutospacing="1"/>
        <w:ind w:left="420" w:leftChars="0" w:right="0" w:hanging="420" w:firstLineChars="0"/>
        <w:jc w:val="left"/>
      </w:pPr>
      <w:r>
        <w:rPr>
          <w:rFonts w:hint="eastAsia"/>
        </w:rPr>
        <w:t>低关注主题：“技术创新展示”（748条）与“文旅融合体验”（58条）的评论数占比仅8.4%、0.7%，其中“文旅融合体验”因样本量极小，尚未形成规模性讨论。</w:t>
      </w:r>
    </w:p>
    <w:p w14:paraId="1A42F459">
      <w:pPr>
        <w:pStyle w:val="10"/>
        <w:keepNext w:val="0"/>
        <w:keepLines w:val="0"/>
        <w:widowControl/>
        <w:suppressLineNumbers w:val="0"/>
        <w:spacing w:before="0" w:beforeAutospacing="1" w:after="0" w:afterAutospacing="1"/>
        <w:ind w:left="0" w:right="0"/>
        <w:jc w:val="left"/>
        <w:rPr>
          <w:rFonts w:hint="eastAsia"/>
        </w:rPr>
      </w:pPr>
      <w:r>
        <w:rPr>
          <w:rFonts w:hint="eastAsia"/>
        </w:rPr>
        <w:t>这一分布表明，《燕云十六声》的文化传播仍以“线上叙事”为核心，“线下联动”与“技术解读”类内容的用户关注度有待提升。</w:t>
      </w:r>
    </w:p>
    <w:p w14:paraId="21E180FE">
      <w:pPr>
        <w:pStyle w:val="10"/>
        <w:keepNext w:val="0"/>
        <w:keepLines w:val="0"/>
        <w:widowControl/>
        <w:suppressLineNumbers w:val="0"/>
        <w:spacing w:before="0" w:beforeAutospacing="1" w:after="0" w:afterAutospacing="1"/>
        <w:ind w:left="0" w:right="0"/>
        <w:jc w:val="left"/>
        <w:rPr>
          <w:rFonts w:hint="eastAsia" w:eastAsiaTheme="minorEastAsia"/>
          <w:lang w:eastAsia="zh-CN"/>
        </w:rPr>
      </w:pPr>
      <w:r>
        <w:rPr>
          <w:rFonts w:hint="eastAsia" w:eastAsiaTheme="minorEastAsia"/>
          <w:lang w:eastAsia="zh-CN"/>
        </w:rPr>
        <w:drawing>
          <wp:inline distT="0" distB="0" distL="114300" distR="114300">
            <wp:extent cx="5266690" cy="2889885"/>
            <wp:effectExtent l="0" t="0" r="10160" b="0"/>
            <wp:docPr id="25" name="图片 25" descr="图1_各主题评论数量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1_各主题评论数量分布"/>
                    <pic:cNvPicPr>
                      <a:picLocks noChangeAspect="1"/>
                    </pic:cNvPicPr>
                  </pic:nvPicPr>
                  <pic:blipFill>
                    <a:blip r:embed="rId7"/>
                    <a:stretch>
                      <a:fillRect/>
                    </a:stretch>
                  </pic:blipFill>
                  <pic:spPr>
                    <a:xfrm>
                      <a:off x="0" y="0"/>
                      <a:ext cx="5266690" cy="2889885"/>
                    </a:xfrm>
                    <a:prstGeom prst="rect">
                      <a:avLst/>
                    </a:prstGeom>
                  </pic:spPr>
                </pic:pic>
              </a:graphicData>
            </a:graphic>
          </wp:inline>
        </w:drawing>
      </w:r>
    </w:p>
    <w:p w14:paraId="05B5DD00">
      <w:pPr>
        <w:pStyle w:val="5"/>
        <w:keepNext w:val="0"/>
        <w:keepLines w:val="0"/>
        <w:widowControl/>
        <w:suppressLineNumbers w:val="0"/>
        <w:spacing w:before="0" w:beforeAutospacing="1" w:after="0" w:afterAutospacing="1"/>
        <w:ind w:left="0" w:right="0"/>
        <w:jc w:val="center"/>
        <w:rPr>
          <w:rFonts w:hint="default" w:eastAsia="黑体"/>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val="en-US" w:eastAsia="zh-CN"/>
        </w:rPr>
        <w:t xml:space="preserve"> 各主题评论数量分布</w:t>
      </w:r>
    </w:p>
    <w:p w14:paraId="034A157B">
      <w:pPr>
        <w:pStyle w:val="10"/>
        <w:keepNext w:val="0"/>
        <w:keepLines w:val="0"/>
        <w:widowControl/>
        <w:suppressLineNumbers w:val="0"/>
        <w:spacing w:before="0" w:beforeAutospacing="1" w:after="0" w:afterAutospacing="1"/>
        <w:ind w:left="0" w:right="0"/>
        <w:jc w:val="left"/>
        <w:rPr>
          <w:rFonts w:hint="eastAsia"/>
        </w:rPr>
      </w:pPr>
      <w:r>
        <w:rPr>
          <w:rFonts w:hint="eastAsia"/>
        </w:rPr>
        <w:t>观察评论的时间分布走势（见图 2），《燕云十六声》的文化传播带有鲜明的 “热点驱动” 特点。数据显示，评论量会在特定节点形成明显高峰：2024 年 3 月出现首个评论热潮，正是游戏进行重大版本更新、集中推出相关文化内容的阶段；5 月到 6 月间，随着 “敦煌联动” 活动与暑期企划上线，传播热度也保持了持续走高的</w:t>
      </w:r>
      <w:r>
        <w:rPr>
          <w:rFonts w:hint="eastAsia"/>
          <w:lang w:val="en-US" w:eastAsia="zh-CN"/>
        </w:rPr>
        <w:t>态势</w:t>
      </w:r>
      <w:r>
        <w:rPr>
          <w:rFonts w:hint="eastAsia"/>
        </w:rPr>
        <w:t>。</w:t>
      </w:r>
    </w:p>
    <w:p w14:paraId="044737CE">
      <w:pPr>
        <w:pStyle w:val="10"/>
        <w:keepNext w:val="0"/>
        <w:keepLines w:val="0"/>
        <w:widowControl/>
        <w:suppressLineNumbers w:val="0"/>
        <w:spacing w:before="0" w:beforeAutospacing="1" w:after="0" w:afterAutospacing="1"/>
        <w:ind w:left="0" w:right="0"/>
        <w:jc w:val="left"/>
        <w:rPr>
          <w:rFonts w:hint="eastAsia"/>
        </w:rPr>
      </w:pPr>
      <w:r>
        <w:rPr>
          <w:rFonts w:hint="eastAsia"/>
        </w:rPr>
        <w:t>进一步的时间序列分析还发现：官方发布的内容往往在上线后 24 小时内就迎来评论峰值，呈现出 “爆发式” 扩散的特点；而个人创作者产出的深度解读内容，则会体现出 “长尾效应”，发布数周后依然能持续带动用户的讨论热度。</w:t>
      </w:r>
    </w:p>
    <w:p w14:paraId="373EF98F">
      <w:pPr>
        <w:pStyle w:val="10"/>
        <w:keepNext w:val="0"/>
        <w:keepLines w:val="0"/>
        <w:widowControl/>
        <w:suppressLineNumbers w:val="0"/>
        <w:spacing w:before="0" w:beforeAutospacing="1" w:after="0" w:afterAutospacing="1"/>
        <w:ind w:left="0" w:right="0"/>
        <w:jc w:val="left"/>
        <w:rPr>
          <w:rFonts w:hint="eastAsia" w:asciiTheme="minorEastAsia" w:hAnsiTheme="minorEastAsia" w:eastAsiaTheme="minorEastAsia" w:cstheme="minorEastAsia"/>
          <w:kern w:val="0"/>
          <w:sz w:val="20"/>
          <w:szCs w:val="20"/>
          <w:lang w:val="en-US" w:eastAsia="zh-CN" w:bidi="ar"/>
        </w:rPr>
      </w:pPr>
      <w:r>
        <w:rPr>
          <w:rFonts w:hint="eastAsia"/>
        </w:rPr>
        <w:t>从这样的时间分布规律能看出，游戏的文化传播需要精准抓住核心内容的发布节点，搭建 “热点引爆 + 长期运营” 的节奏来推进。</w:t>
      </w:r>
      <w:r>
        <w:rPr>
          <w:rFonts w:hint="eastAsia" w:asciiTheme="minorEastAsia" w:hAnsiTheme="minorEastAsia" w:eastAsiaTheme="minorEastAsia" w:cstheme="minorEastAsia"/>
          <w:kern w:val="0"/>
          <w:sz w:val="20"/>
          <w:szCs w:val="20"/>
          <w:lang w:val="en-US" w:eastAsia="zh-CN" w:bidi="ar"/>
        </w:rPr>
        <w:drawing>
          <wp:inline distT="0" distB="0" distL="114300" distR="114300">
            <wp:extent cx="5266690" cy="2430145"/>
            <wp:effectExtent l="0" t="0" r="10160" b="0"/>
            <wp:docPr id="26" name="图片 26" descr="图7_评论数量时间序列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图7_评论数量时间序列分布"/>
                    <pic:cNvPicPr>
                      <a:picLocks noChangeAspect="1"/>
                    </pic:cNvPicPr>
                  </pic:nvPicPr>
                  <pic:blipFill>
                    <a:blip r:embed="rId8"/>
                    <a:stretch>
                      <a:fillRect/>
                    </a:stretch>
                  </pic:blipFill>
                  <pic:spPr>
                    <a:xfrm>
                      <a:off x="0" y="0"/>
                      <a:ext cx="5266690" cy="2430145"/>
                    </a:xfrm>
                    <a:prstGeom prst="rect">
                      <a:avLst/>
                    </a:prstGeom>
                  </pic:spPr>
                </pic:pic>
              </a:graphicData>
            </a:graphic>
          </wp:inline>
        </w:drawing>
      </w:r>
    </w:p>
    <w:p w14:paraId="47B10170">
      <w:pPr>
        <w:pStyle w:val="5"/>
        <w:keepNext w:val="0"/>
        <w:keepLines w:val="0"/>
        <w:widowControl/>
        <w:suppressLineNumbers w:val="0"/>
        <w:spacing w:before="0" w:beforeAutospacing="1" w:after="0" w:afterAutospacing="1"/>
        <w:ind w:left="0" w:right="0"/>
        <w:jc w:val="center"/>
        <w:rPr>
          <w:rFonts w:hint="default" w:eastAsia="黑体" w:asciiTheme="minorEastAsia" w:hAnsiTheme="minorEastAsia" w:cstheme="minorEastAsia"/>
          <w:kern w:val="0"/>
          <w:sz w:val="20"/>
          <w:szCs w:val="20"/>
          <w:lang w:val="en-US" w:eastAsia="zh-CN" w:bidi="ar"/>
        </w:rPr>
      </w:pPr>
      <w:r>
        <w:t xml:space="preserve">图 </w:t>
      </w:r>
      <w:r>
        <w:fldChar w:fldCharType="begin"/>
      </w:r>
      <w:r>
        <w:instrText xml:space="preserve"> SEQ 图 \* ARABIC </w:instrText>
      </w:r>
      <w:r>
        <w:fldChar w:fldCharType="separate"/>
      </w:r>
      <w:r>
        <w:t>2</w:t>
      </w:r>
      <w:r>
        <w:fldChar w:fldCharType="end"/>
      </w:r>
      <w:r>
        <w:rPr>
          <w:rFonts w:hint="eastAsia"/>
          <w:lang w:val="en-US" w:eastAsia="zh-CN"/>
        </w:rPr>
        <w:t xml:space="preserve"> 评论数量时间序列分布</w:t>
      </w:r>
    </w:p>
    <w:p w14:paraId="70889A59">
      <w:pPr>
        <w:pStyle w:val="3"/>
        <w:keepNext w:val="0"/>
        <w:keepLines w:val="0"/>
        <w:widowControl/>
        <w:numPr>
          <w:ilvl w:val="0"/>
          <w:numId w:val="0"/>
        </w:numPr>
        <w:suppressLineNumbers w:val="0"/>
        <w:pBdr>
          <w:left w:val="none" w:color="auto" w:sz="0" w:space="0"/>
        </w:pBdr>
        <w:ind w:leftChars="0"/>
        <w:jc w:val="left"/>
      </w:pPr>
      <w:bookmarkStart w:id="13" w:name="_Toc3661"/>
      <w:r>
        <w:t>4.2 情感效果差异：文旅融合体验主题正面率最高</w:t>
      </w:r>
      <w:bookmarkEnd w:id="13"/>
    </w:p>
    <w:p w14:paraId="4F1F3EAE">
      <w:pPr>
        <w:pStyle w:val="10"/>
        <w:keepNext w:val="0"/>
        <w:keepLines w:val="0"/>
        <w:widowControl/>
        <w:numPr>
          <w:ilvl w:val="0"/>
          <w:numId w:val="0"/>
        </w:numPr>
        <w:suppressLineNumbers w:val="0"/>
        <w:spacing w:before="0" w:beforeAutospacing="1" w:after="0" w:afterAutospacing="1"/>
        <w:ind w:leftChars="0" w:right="0" w:rightChars="0"/>
        <w:jc w:val="left"/>
        <w:rPr>
          <w:rFonts w:hint="eastAsia"/>
        </w:rPr>
      </w:pPr>
      <w:r>
        <w:rPr>
          <w:rFonts w:hint="eastAsia"/>
        </w:rPr>
        <w:t>通过“原始正面率”与“加权正面率”的对比（表3、图3），结合“各传播主题加权正面率排名”（图4），可发现情感效果的核心差异：</w:t>
      </w:r>
    </w:p>
    <w:p w14:paraId="53783145">
      <w:pPr>
        <w:pStyle w:val="10"/>
        <w:keepNext w:val="0"/>
        <w:keepLines w:val="0"/>
        <w:widowControl/>
        <w:numPr>
          <w:ilvl w:val="0"/>
          <w:numId w:val="0"/>
        </w:numPr>
        <w:suppressLineNumbers w:val="0"/>
        <w:spacing w:before="0" w:beforeAutospacing="1" w:after="0" w:afterAutospacing="1"/>
        <w:ind w:leftChars="0" w:right="0" w:rightChars="0"/>
        <w:jc w:val="left"/>
        <w:rPr>
          <w:rFonts w:hint="eastAsia"/>
        </w:rPr>
      </w:pPr>
      <w:r>
        <w:rPr>
          <w:rFonts w:hint="eastAsia"/>
        </w:rPr>
        <w:t>加权正面率排名：“文旅融合体验”以37.9%的加权正面率位居第一，且原始正面率与加权正面率完全一致（差异0%），说明该主题的正面反馈“集中且稳定”，未受评论权重（点赞数）影响；“核心文化传承”排名第二（29.8%），但原始正面率（31.8%）高于加权正面率，反映部分正面评论的用户认同度（点赞数）较低；“社会议题探讨”排名第六（22.8%），原始与加权正面率一致，整体情感反馈偏平淡。</w:t>
      </w:r>
    </w:p>
    <w:p w14:paraId="61BBDD0B">
      <w:pPr>
        <w:pStyle w:val="10"/>
        <w:keepNext w:val="0"/>
        <w:keepLines w:val="0"/>
        <w:widowControl/>
        <w:numPr>
          <w:ilvl w:val="0"/>
          <w:numId w:val="0"/>
        </w:numPr>
        <w:suppressLineNumbers w:val="0"/>
        <w:spacing w:before="0" w:beforeAutospacing="1" w:after="0" w:afterAutospacing="1"/>
        <w:ind w:leftChars="0" w:right="0" w:rightChars="0"/>
        <w:jc w:val="left"/>
      </w:pPr>
      <w:r>
        <w:rPr>
          <w:rFonts w:hint="eastAsia"/>
        </w:rPr>
        <w:t>情感得分差异：“文旅融合体验”的加权情感得分最高（0.43），“核心文化传承”次之（0.32），“社会议题探讨”最低（0.12），与加权正面率排名一致，进一步验证“文旅融合”主题的情感共鸣强度最优。</w:t>
      </w:r>
    </w:p>
    <w:tbl>
      <w:tblPr>
        <w:tblStyle w:val="11"/>
        <w:tblW w:w="9256" w:type="dxa"/>
        <w:jc w:val="center"/>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590"/>
        <w:gridCol w:w="544"/>
        <w:gridCol w:w="750"/>
        <w:gridCol w:w="1352"/>
        <w:gridCol w:w="831"/>
        <w:gridCol w:w="831"/>
        <w:gridCol w:w="876"/>
        <w:gridCol w:w="876"/>
        <w:gridCol w:w="803"/>
        <w:gridCol w:w="803"/>
      </w:tblGrid>
      <w:tr w14:paraId="07DCB8E2">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tblHeader/>
          <w:jc w:val="center"/>
        </w:trPr>
        <w:tc>
          <w:tcPr>
            <w:tcW w:w="1590" w:type="dxa"/>
            <w:tcBorders>
              <w:top w:val="single" w:color="auto" w:sz="12" w:space="0"/>
              <w:left w:val="nil"/>
              <w:bottom w:val="single" w:color="auto" w:sz="4" w:space="0"/>
              <w:right w:val="nil"/>
            </w:tcBorders>
            <w:shd w:val="clear" w:color="auto" w:fill="auto"/>
            <w:vAlign w:val="center"/>
          </w:tcPr>
          <w:p w14:paraId="64727FC4">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b/>
              </w:rPr>
            </w:pPr>
            <w:r>
              <w:rPr>
                <w:rStyle w:val="14"/>
                <w:rFonts w:hint="eastAsia" w:asciiTheme="minorEastAsia" w:hAnsiTheme="minorEastAsia" w:eastAsiaTheme="minorEastAsia" w:cstheme="minorEastAsia"/>
                <w:b/>
                <w:bCs/>
              </w:rPr>
              <w:t>传播主题</w:t>
            </w:r>
          </w:p>
        </w:tc>
        <w:tc>
          <w:tcPr>
            <w:tcW w:w="544" w:type="dxa"/>
            <w:tcBorders>
              <w:top w:val="single" w:color="auto" w:sz="12" w:space="0"/>
              <w:left w:val="nil"/>
              <w:bottom w:val="single" w:color="auto" w:sz="4" w:space="0"/>
              <w:right w:val="nil"/>
            </w:tcBorders>
            <w:shd w:val="clear" w:color="auto" w:fill="auto"/>
            <w:vAlign w:val="center"/>
          </w:tcPr>
          <w:p w14:paraId="77BD32E4">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b/>
              </w:rPr>
            </w:pPr>
            <w:r>
              <w:rPr>
                <w:rStyle w:val="14"/>
                <w:rFonts w:hint="eastAsia" w:asciiTheme="minorEastAsia" w:hAnsiTheme="minorEastAsia" w:eastAsiaTheme="minorEastAsia" w:cstheme="minorEastAsia"/>
                <w:b/>
                <w:bCs/>
              </w:rPr>
              <w:t>视频数量</w:t>
            </w:r>
          </w:p>
        </w:tc>
        <w:tc>
          <w:tcPr>
            <w:tcW w:w="750" w:type="dxa"/>
            <w:tcBorders>
              <w:top w:val="single" w:color="auto" w:sz="12" w:space="0"/>
              <w:left w:val="nil"/>
              <w:bottom w:val="single" w:color="auto" w:sz="4" w:space="0"/>
              <w:right w:val="nil"/>
            </w:tcBorders>
            <w:shd w:val="clear" w:color="auto" w:fill="auto"/>
            <w:vAlign w:val="center"/>
          </w:tcPr>
          <w:p w14:paraId="6B670313">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b/>
              </w:rPr>
            </w:pPr>
            <w:r>
              <w:rPr>
                <w:rStyle w:val="14"/>
                <w:rFonts w:hint="eastAsia" w:asciiTheme="minorEastAsia" w:hAnsiTheme="minorEastAsia" w:eastAsiaTheme="minorEastAsia" w:cstheme="minorEastAsia"/>
                <w:b/>
                <w:bCs/>
              </w:rPr>
              <w:t>评论数量</w:t>
            </w:r>
          </w:p>
        </w:tc>
        <w:tc>
          <w:tcPr>
            <w:tcW w:w="1352" w:type="dxa"/>
            <w:tcBorders>
              <w:top w:val="single" w:color="auto" w:sz="12" w:space="0"/>
              <w:left w:val="nil"/>
              <w:bottom w:val="single" w:color="auto" w:sz="4" w:space="0"/>
              <w:right w:val="nil"/>
            </w:tcBorders>
            <w:shd w:val="clear" w:color="auto" w:fill="auto"/>
            <w:vAlign w:val="center"/>
          </w:tcPr>
          <w:p w14:paraId="48B83D20">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b/>
                <w:lang w:val="en-US" w:eastAsia="zh-CN"/>
              </w:rPr>
            </w:pPr>
            <w:r>
              <w:rPr>
                <w:rStyle w:val="14"/>
                <w:rFonts w:hint="eastAsia" w:asciiTheme="minorEastAsia" w:hAnsiTheme="minorEastAsia" w:eastAsiaTheme="minorEastAsia" w:cstheme="minorEastAsia"/>
                <w:b/>
                <w:bCs/>
              </w:rPr>
              <w:t>加权评论量</w:t>
            </w:r>
            <w:r>
              <w:rPr>
                <w:rFonts w:hint="eastAsia" w:asciiTheme="minorEastAsia" w:hAnsiTheme="minorEastAsia" w:cstheme="minorEastAsia"/>
                <w:b/>
                <w:lang w:val="en-US" w:eastAsia="zh-CN"/>
              </w:rPr>
              <w:t>%</w:t>
            </w:r>
          </w:p>
        </w:tc>
        <w:tc>
          <w:tcPr>
            <w:tcW w:w="831" w:type="dxa"/>
            <w:tcBorders>
              <w:top w:val="single" w:color="auto" w:sz="12" w:space="0"/>
              <w:left w:val="nil"/>
              <w:bottom w:val="single" w:color="auto" w:sz="4" w:space="0"/>
              <w:right w:val="nil"/>
            </w:tcBorders>
            <w:shd w:val="clear" w:color="auto" w:fill="auto"/>
            <w:vAlign w:val="center"/>
          </w:tcPr>
          <w:p w14:paraId="2197D747">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b/>
                <w:lang w:val="en-US" w:eastAsia="zh-CN"/>
              </w:rPr>
            </w:pPr>
            <w:r>
              <w:rPr>
                <w:rStyle w:val="14"/>
                <w:rFonts w:hint="eastAsia" w:asciiTheme="minorEastAsia" w:hAnsiTheme="minorEastAsia" w:eastAsiaTheme="minorEastAsia" w:cstheme="minorEastAsia"/>
                <w:b/>
                <w:bCs/>
              </w:rPr>
              <w:t>原始正面率</w:t>
            </w:r>
            <w:r>
              <w:rPr>
                <w:rFonts w:hint="eastAsia" w:asciiTheme="minorEastAsia" w:hAnsiTheme="minorEastAsia" w:cstheme="minorEastAsia"/>
                <w:b/>
                <w:lang w:val="en-US" w:eastAsia="zh-CN"/>
              </w:rPr>
              <w:t>%</w:t>
            </w:r>
          </w:p>
        </w:tc>
        <w:tc>
          <w:tcPr>
            <w:tcW w:w="831" w:type="dxa"/>
            <w:tcBorders>
              <w:top w:val="single" w:color="auto" w:sz="12" w:space="0"/>
              <w:left w:val="nil"/>
              <w:bottom w:val="single" w:color="auto" w:sz="4" w:space="0"/>
              <w:right w:val="nil"/>
            </w:tcBorders>
            <w:shd w:val="clear" w:color="auto" w:fill="auto"/>
            <w:vAlign w:val="center"/>
          </w:tcPr>
          <w:p w14:paraId="6369586E">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b/>
                <w:lang w:val="en-US" w:eastAsia="zh-CN"/>
              </w:rPr>
            </w:pPr>
            <w:r>
              <w:rPr>
                <w:rStyle w:val="14"/>
                <w:rFonts w:hint="eastAsia" w:asciiTheme="minorEastAsia" w:hAnsiTheme="minorEastAsia" w:eastAsiaTheme="minorEastAsia" w:cstheme="minorEastAsia"/>
                <w:b/>
                <w:bCs/>
              </w:rPr>
              <w:t>加权正面率</w:t>
            </w:r>
            <w:r>
              <w:rPr>
                <w:rFonts w:hint="eastAsia" w:asciiTheme="minorEastAsia" w:hAnsiTheme="minorEastAsia" w:cstheme="minorEastAsia"/>
                <w:b/>
                <w:lang w:val="en-US" w:eastAsia="zh-CN"/>
              </w:rPr>
              <w:t>%</w:t>
            </w:r>
          </w:p>
        </w:tc>
        <w:tc>
          <w:tcPr>
            <w:tcW w:w="876" w:type="dxa"/>
            <w:tcBorders>
              <w:top w:val="single" w:color="auto" w:sz="12" w:space="0"/>
              <w:left w:val="nil"/>
              <w:bottom w:val="single" w:color="auto" w:sz="4" w:space="0"/>
              <w:right w:val="nil"/>
            </w:tcBorders>
            <w:shd w:val="clear" w:color="auto" w:fill="auto"/>
            <w:vAlign w:val="center"/>
          </w:tcPr>
          <w:p w14:paraId="7A14256B">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b/>
                <w:lang w:eastAsia="zh-CN"/>
              </w:rPr>
            </w:pPr>
            <w:r>
              <w:rPr>
                <w:rStyle w:val="14"/>
                <w:rFonts w:hint="eastAsia" w:asciiTheme="minorEastAsia" w:hAnsiTheme="minorEastAsia" w:eastAsiaTheme="minorEastAsia" w:cstheme="minorEastAsia"/>
                <w:b/>
                <w:bCs/>
              </w:rPr>
              <w:t>原始情感得分</w:t>
            </w:r>
          </w:p>
        </w:tc>
        <w:tc>
          <w:tcPr>
            <w:tcW w:w="876" w:type="dxa"/>
            <w:tcBorders>
              <w:top w:val="single" w:color="auto" w:sz="12" w:space="0"/>
              <w:left w:val="nil"/>
              <w:bottom w:val="single" w:color="auto" w:sz="4" w:space="0"/>
              <w:right w:val="nil"/>
            </w:tcBorders>
            <w:shd w:val="clear" w:color="auto" w:fill="auto"/>
            <w:vAlign w:val="center"/>
          </w:tcPr>
          <w:p w14:paraId="19D1F52D">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b/>
              </w:rPr>
            </w:pPr>
            <w:r>
              <w:rPr>
                <w:rStyle w:val="14"/>
                <w:rFonts w:hint="eastAsia" w:asciiTheme="minorEastAsia" w:hAnsiTheme="minorEastAsia" w:eastAsiaTheme="minorEastAsia" w:cstheme="minorEastAsia"/>
                <w:b/>
                <w:bCs/>
              </w:rPr>
              <w:t>加权情感得分</w:t>
            </w:r>
          </w:p>
        </w:tc>
        <w:tc>
          <w:tcPr>
            <w:tcW w:w="803" w:type="dxa"/>
            <w:tcBorders>
              <w:top w:val="single" w:color="auto" w:sz="12" w:space="0"/>
              <w:left w:val="nil"/>
              <w:bottom w:val="single" w:color="auto" w:sz="4" w:space="0"/>
              <w:right w:val="nil"/>
            </w:tcBorders>
            <w:shd w:val="clear" w:color="auto" w:fill="auto"/>
            <w:vAlign w:val="center"/>
          </w:tcPr>
          <w:p w14:paraId="70CA4216">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b/>
              </w:rPr>
            </w:pPr>
            <w:r>
              <w:rPr>
                <w:rStyle w:val="14"/>
                <w:rFonts w:hint="eastAsia" w:asciiTheme="minorEastAsia" w:hAnsiTheme="minorEastAsia" w:eastAsiaTheme="minorEastAsia" w:cstheme="minorEastAsia"/>
                <w:b/>
                <w:bCs/>
              </w:rPr>
              <w:t>深度情感比例</w:t>
            </w:r>
          </w:p>
        </w:tc>
        <w:tc>
          <w:tcPr>
            <w:tcW w:w="803" w:type="dxa"/>
            <w:tcBorders>
              <w:top w:val="single" w:color="auto" w:sz="12" w:space="0"/>
              <w:left w:val="nil"/>
              <w:bottom w:val="single" w:color="auto" w:sz="4" w:space="0"/>
              <w:right w:val="nil"/>
            </w:tcBorders>
            <w:shd w:val="clear" w:color="auto" w:fill="auto"/>
            <w:vAlign w:val="center"/>
          </w:tcPr>
          <w:p w14:paraId="74AE92BA">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b/>
              </w:rPr>
            </w:pPr>
            <w:r>
              <w:rPr>
                <w:rStyle w:val="14"/>
                <w:rFonts w:hint="eastAsia" w:asciiTheme="minorEastAsia" w:hAnsiTheme="minorEastAsia" w:eastAsiaTheme="minorEastAsia" w:cstheme="minorEastAsia"/>
                <w:b/>
                <w:bCs/>
              </w:rPr>
              <w:t>行为意向比例</w:t>
            </w:r>
          </w:p>
        </w:tc>
      </w:tr>
      <w:tr w14:paraId="682D278E">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590" w:type="dxa"/>
            <w:tcBorders>
              <w:top w:val="single" w:color="auto" w:sz="4" w:space="0"/>
              <w:left w:val="nil"/>
              <w:bottom w:val="nil"/>
              <w:right w:val="nil"/>
            </w:tcBorders>
            <w:shd w:val="clear" w:color="auto" w:fill="auto"/>
            <w:vAlign w:val="center"/>
          </w:tcPr>
          <w:p w14:paraId="6A014AC8">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文旅融合体验</w:t>
            </w:r>
          </w:p>
        </w:tc>
        <w:tc>
          <w:tcPr>
            <w:tcW w:w="544" w:type="dxa"/>
            <w:tcBorders>
              <w:top w:val="single" w:color="auto" w:sz="4" w:space="0"/>
              <w:left w:val="nil"/>
              <w:bottom w:val="nil"/>
              <w:right w:val="nil"/>
            </w:tcBorders>
            <w:shd w:val="clear" w:color="auto" w:fill="auto"/>
            <w:vAlign w:val="center"/>
          </w:tcPr>
          <w:p w14:paraId="6A41E163">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1</w:t>
            </w:r>
          </w:p>
        </w:tc>
        <w:tc>
          <w:tcPr>
            <w:tcW w:w="750" w:type="dxa"/>
            <w:tcBorders>
              <w:top w:val="single" w:color="auto" w:sz="4" w:space="0"/>
              <w:left w:val="nil"/>
              <w:bottom w:val="nil"/>
              <w:right w:val="nil"/>
            </w:tcBorders>
            <w:shd w:val="clear" w:color="auto" w:fill="auto"/>
            <w:vAlign w:val="center"/>
          </w:tcPr>
          <w:p w14:paraId="109B995C">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58</w:t>
            </w:r>
          </w:p>
        </w:tc>
        <w:tc>
          <w:tcPr>
            <w:tcW w:w="1352" w:type="dxa"/>
            <w:tcBorders>
              <w:top w:val="single" w:color="auto" w:sz="4" w:space="0"/>
              <w:left w:val="nil"/>
              <w:bottom w:val="nil"/>
              <w:right w:val="nil"/>
            </w:tcBorders>
            <w:shd w:val="clear" w:color="auto" w:fill="auto"/>
            <w:vAlign w:val="center"/>
          </w:tcPr>
          <w:p w14:paraId="3F8ECFB4">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5.301812</w:t>
            </w:r>
          </w:p>
        </w:tc>
        <w:tc>
          <w:tcPr>
            <w:tcW w:w="831" w:type="dxa"/>
            <w:tcBorders>
              <w:top w:val="single" w:color="auto" w:sz="4" w:space="0"/>
              <w:left w:val="nil"/>
              <w:bottom w:val="nil"/>
              <w:right w:val="nil"/>
            </w:tcBorders>
            <w:shd w:val="clear" w:color="auto" w:fill="auto"/>
            <w:vAlign w:val="center"/>
          </w:tcPr>
          <w:p w14:paraId="122CF098">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37.9</w:t>
            </w:r>
          </w:p>
        </w:tc>
        <w:tc>
          <w:tcPr>
            <w:tcW w:w="831" w:type="dxa"/>
            <w:tcBorders>
              <w:top w:val="single" w:color="auto" w:sz="4" w:space="0"/>
              <w:left w:val="nil"/>
              <w:bottom w:val="nil"/>
              <w:right w:val="nil"/>
            </w:tcBorders>
            <w:shd w:val="clear" w:color="auto" w:fill="auto"/>
            <w:vAlign w:val="center"/>
          </w:tcPr>
          <w:p w14:paraId="29820D92">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37.9</w:t>
            </w:r>
          </w:p>
        </w:tc>
        <w:tc>
          <w:tcPr>
            <w:tcW w:w="876" w:type="dxa"/>
            <w:tcBorders>
              <w:top w:val="single" w:color="auto" w:sz="4" w:space="0"/>
              <w:left w:val="nil"/>
              <w:bottom w:val="nil"/>
              <w:right w:val="nil"/>
            </w:tcBorders>
            <w:shd w:val="clear" w:color="auto" w:fill="auto"/>
            <w:vAlign w:val="center"/>
          </w:tcPr>
          <w:p w14:paraId="648C7EC0">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0.43</w:t>
            </w:r>
          </w:p>
        </w:tc>
        <w:tc>
          <w:tcPr>
            <w:tcW w:w="876" w:type="dxa"/>
            <w:tcBorders>
              <w:top w:val="single" w:color="auto" w:sz="4" w:space="0"/>
              <w:left w:val="nil"/>
              <w:bottom w:val="nil"/>
              <w:right w:val="nil"/>
            </w:tcBorders>
            <w:shd w:val="clear" w:color="auto" w:fill="auto"/>
            <w:vAlign w:val="center"/>
          </w:tcPr>
          <w:p w14:paraId="6D99A2EF">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0.43</w:t>
            </w:r>
          </w:p>
        </w:tc>
        <w:tc>
          <w:tcPr>
            <w:tcW w:w="803" w:type="dxa"/>
            <w:tcBorders>
              <w:top w:val="single" w:color="auto" w:sz="4" w:space="0"/>
              <w:left w:val="nil"/>
              <w:bottom w:val="nil"/>
              <w:right w:val="nil"/>
            </w:tcBorders>
            <w:shd w:val="clear" w:color="auto" w:fill="auto"/>
            <w:vAlign w:val="center"/>
          </w:tcPr>
          <w:p w14:paraId="70C6D440">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0.0</w:t>
            </w:r>
          </w:p>
        </w:tc>
        <w:tc>
          <w:tcPr>
            <w:tcW w:w="803" w:type="dxa"/>
            <w:tcBorders>
              <w:top w:val="single" w:color="auto" w:sz="4" w:space="0"/>
              <w:left w:val="nil"/>
              <w:bottom w:val="nil"/>
              <w:right w:val="nil"/>
            </w:tcBorders>
            <w:shd w:val="clear" w:color="auto" w:fill="auto"/>
            <w:vAlign w:val="center"/>
          </w:tcPr>
          <w:p w14:paraId="52E46FAF">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6.9</w:t>
            </w:r>
          </w:p>
        </w:tc>
      </w:tr>
      <w:tr w14:paraId="6D1FDBF8">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590" w:type="dxa"/>
            <w:tcBorders>
              <w:top w:val="nil"/>
              <w:left w:val="nil"/>
              <w:bottom w:val="nil"/>
              <w:right w:val="nil"/>
            </w:tcBorders>
            <w:shd w:val="clear" w:color="auto" w:fill="auto"/>
            <w:vAlign w:val="center"/>
          </w:tcPr>
          <w:p w14:paraId="365524E6">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核心文化传承</w:t>
            </w:r>
          </w:p>
        </w:tc>
        <w:tc>
          <w:tcPr>
            <w:tcW w:w="544" w:type="dxa"/>
            <w:tcBorders>
              <w:top w:val="nil"/>
              <w:left w:val="nil"/>
              <w:bottom w:val="nil"/>
              <w:right w:val="nil"/>
            </w:tcBorders>
            <w:shd w:val="clear" w:color="auto" w:fill="auto"/>
            <w:vAlign w:val="center"/>
          </w:tcPr>
          <w:p w14:paraId="4CC61F07">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3</w:t>
            </w:r>
          </w:p>
        </w:tc>
        <w:tc>
          <w:tcPr>
            <w:tcW w:w="750" w:type="dxa"/>
            <w:tcBorders>
              <w:top w:val="nil"/>
              <w:left w:val="nil"/>
              <w:bottom w:val="nil"/>
              <w:right w:val="nil"/>
            </w:tcBorders>
            <w:shd w:val="clear" w:color="auto" w:fill="auto"/>
            <w:vAlign w:val="center"/>
          </w:tcPr>
          <w:p w14:paraId="234C59C1">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2705</w:t>
            </w:r>
          </w:p>
        </w:tc>
        <w:tc>
          <w:tcPr>
            <w:tcW w:w="1352" w:type="dxa"/>
            <w:tcBorders>
              <w:top w:val="nil"/>
              <w:left w:val="nil"/>
              <w:bottom w:val="nil"/>
              <w:right w:val="nil"/>
            </w:tcBorders>
            <w:shd w:val="clear" w:color="auto" w:fill="auto"/>
            <w:vAlign w:val="center"/>
          </w:tcPr>
          <w:p w14:paraId="31ECFC5B">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4321.908589</w:t>
            </w:r>
          </w:p>
        </w:tc>
        <w:tc>
          <w:tcPr>
            <w:tcW w:w="831" w:type="dxa"/>
            <w:tcBorders>
              <w:top w:val="nil"/>
              <w:left w:val="nil"/>
              <w:bottom w:val="nil"/>
              <w:right w:val="nil"/>
            </w:tcBorders>
            <w:shd w:val="clear" w:color="auto" w:fill="auto"/>
            <w:vAlign w:val="center"/>
          </w:tcPr>
          <w:p w14:paraId="3758E482">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31.8</w:t>
            </w:r>
          </w:p>
        </w:tc>
        <w:tc>
          <w:tcPr>
            <w:tcW w:w="831" w:type="dxa"/>
            <w:tcBorders>
              <w:top w:val="nil"/>
              <w:left w:val="nil"/>
              <w:bottom w:val="nil"/>
              <w:right w:val="nil"/>
            </w:tcBorders>
            <w:shd w:val="clear" w:color="auto" w:fill="auto"/>
            <w:vAlign w:val="center"/>
          </w:tcPr>
          <w:p w14:paraId="12FE0D1A">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29.8</w:t>
            </w:r>
          </w:p>
        </w:tc>
        <w:tc>
          <w:tcPr>
            <w:tcW w:w="876" w:type="dxa"/>
            <w:tcBorders>
              <w:top w:val="nil"/>
              <w:left w:val="nil"/>
              <w:bottom w:val="nil"/>
              <w:right w:val="nil"/>
            </w:tcBorders>
            <w:shd w:val="clear" w:color="auto" w:fill="auto"/>
            <w:vAlign w:val="center"/>
          </w:tcPr>
          <w:p w14:paraId="2C5BFF54">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0.36</w:t>
            </w:r>
          </w:p>
        </w:tc>
        <w:tc>
          <w:tcPr>
            <w:tcW w:w="876" w:type="dxa"/>
            <w:tcBorders>
              <w:top w:val="nil"/>
              <w:left w:val="nil"/>
              <w:bottom w:val="nil"/>
              <w:right w:val="nil"/>
            </w:tcBorders>
            <w:shd w:val="clear" w:color="auto" w:fill="auto"/>
            <w:vAlign w:val="center"/>
          </w:tcPr>
          <w:p w14:paraId="0D1113F8">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0.32</w:t>
            </w:r>
          </w:p>
        </w:tc>
        <w:tc>
          <w:tcPr>
            <w:tcW w:w="803" w:type="dxa"/>
            <w:tcBorders>
              <w:top w:val="nil"/>
              <w:left w:val="nil"/>
              <w:bottom w:val="nil"/>
              <w:right w:val="nil"/>
            </w:tcBorders>
            <w:shd w:val="clear" w:color="auto" w:fill="auto"/>
            <w:vAlign w:val="center"/>
          </w:tcPr>
          <w:p w14:paraId="2A4C09E1">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1.2</w:t>
            </w:r>
          </w:p>
        </w:tc>
        <w:tc>
          <w:tcPr>
            <w:tcW w:w="803" w:type="dxa"/>
            <w:tcBorders>
              <w:top w:val="nil"/>
              <w:left w:val="nil"/>
              <w:bottom w:val="nil"/>
              <w:right w:val="nil"/>
            </w:tcBorders>
            <w:shd w:val="clear" w:color="auto" w:fill="auto"/>
            <w:vAlign w:val="center"/>
          </w:tcPr>
          <w:p w14:paraId="1A671553">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9.8</w:t>
            </w:r>
          </w:p>
        </w:tc>
      </w:tr>
      <w:tr w14:paraId="16F18B7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590" w:type="dxa"/>
            <w:tcBorders>
              <w:top w:val="nil"/>
              <w:left w:val="nil"/>
              <w:bottom w:val="nil"/>
              <w:right w:val="nil"/>
            </w:tcBorders>
            <w:shd w:val="clear" w:color="auto" w:fill="auto"/>
            <w:vAlign w:val="center"/>
          </w:tcPr>
          <w:p w14:paraId="4CD3B719">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社会责任实践</w:t>
            </w:r>
          </w:p>
        </w:tc>
        <w:tc>
          <w:tcPr>
            <w:tcW w:w="544" w:type="dxa"/>
            <w:tcBorders>
              <w:top w:val="nil"/>
              <w:left w:val="nil"/>
              <w:bottom w:val="nil"/>
              <w:right w:val="nil"/>
            </w:tcBorders>
            <w:shd w:val="clear" w:color="auto" w:fill="auto"/>
            <w:vAlign w:val="center"/>
          </w:tcPr>
          <w:p w14:paraId="0059C48B">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3</w:t>
            </w:r>
          </w:p>
        </w:tc>
        <w:tc>
          <w:tcPr>
            <w:tcW w:w="750" w:type="dxa"/>
            <w:tcBorders>
              <w:top w:val="nil"/>
              <w:left w:val="nil"/>
              <w:bottom w:val="nil"/>
              <w:right w:val="nil"/>
            </w:tcBorders>
            <w:shd w:val="clear" w:color="auto" w:fill="auto"/>
            <w:vAlign w:val="center"/>
          </w:tcPr>
          <w:p w14:paraId="5894AB18">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1473</w:t>
            </w:r>
          </w:p>
        </w:tc>
        <w:tc>
          <w:tcPr>
            <w:tcW w:w="1352" w:type="dxa"/>
            <w:tcBorders>
              <w:top w:val="nil"/>
              <w:left w:val="nil"/>
              <w:bottom w:val="nil"/>
              <w:right w:val="nil"/>
            </w:tcBorders>
            <w:shd w:val="clear" w:color="auto" w:fill="auto"/>
            <w:vAlign w:val="center"/>
          </w:tcPr>
          <w:p w14:paraId="12076ABA">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1195.553980</w:t>
            </w:r>
          </w:p>
        </w:tc>
        <w:tc>
          <w:tcPr>
            <w:tcW w:w="831" w:type="dxa"/>
            <w:tcBorders>
              <w:top w:val="nil"/>
              <w:left w:val="nil"/>
              <w:bottom w:val="nil"/>
              <w:right w:val="nil"/>
            </w:tcBorders>
            <w:shd w:val="clear" w:color="auto" w:fill="auto"/>
            <w:vAlign w:val="center"/>
          </w:tcPr>
          <w:p w14:paraId="43338FA0">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27.0</w:t>
            </w:r>
          </w:p>
        </w:tc>
        <w:tc>
          <w:tcPr>
            <w:tcW w:w="831" w:type="dxa"/>
            <w:tcBorders>
              <w:top w:val="nil"/>
              <w:left w:val="nil"/>
              <w:bottom w:val="nil"/>
              <w:right w:val="nil"/>
            </w:tcBorders>
            <w:shd w:val="clear" w:color="auto" w:fill="auto"/>
            <w:vAlign w:val="center"/>
          </w:tcPr>
          <w:p w14:paraId="4D07F819">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27.3</w:t>
            </w:r>
          </w:p>
        </w:tc>
        <w:tc>
          <w:tcPr>
            <w:tcW w:w="876" w:type="dxa"/>
            <w:tcBorders>
              <w:top w:val="nil"/>
              <w:left w:val="nil"/>
              <w:bottom w:val="nil"/>
              <w:right w:val="nil"/>
            </w:tcBorders>
            <w:shd w:val="clear" w:color="auto" w:fill="auto"/>
            <w:vAlign w:val="center"/>
          </w:tcPr>
          <w:p w14:paraId="3A9DA275">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0.29</w:t>
            </w:r>
          </w:p>
        </w:tc>
        <w:tc>
          <w:tcPr>
            <w:tcW w:w="876" w:type="dxa"/>
            <w:tcBorders>
              <w:top w:val="nil"/>
              <w:left w:val="nil"/>
              <w:bottom w:val="nil"/>
              <w:right w:val="nil"/>
            </w:tcBorders>
            <w:shd w:val="clear" w:color="auto" w:fill="auto"/>
            <w:vAlign w:val="center"/>
          </w:tcPr>
          <w:p w14:paraId="21528CC6">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0.29</w:t>
            </w:r>
          </w:p>
        </w:tc>
        <w:tc>
          <w:tcPr>
            <w:tcW w:w="803" w:type="dxa"/>
            <w:tcBorders>
              <w:top w:val="nil"/>
              <w:left w:val="nil"/>
              <w:bottom w:val="nil"/>
              <w:right w:val="nil"/>
            </w:tcBorders>
            <w:shd w:val="clear" w:color="auto" w:fill="auto"/>
            <w:vAlign w:val="center"/>
          </w:tcPr>
          <w:p w14:paraId="3955CBD2">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1.2</w:t>
            </w:r>
          </w:p>
        </w:tc>
        <w:tc>
          <w:tcPr>
            <w:tcW w:w="803" w:type="dxa"/>
            <w:tcBorders>
              <w:top w:val="nil"/>
              <w:left w:val="nil"/>
              <w:bottom w:val="nil"/>
              <w:right w:val="nil"/>
            </w:tcBorders>
            <w:shd w:val="clear" w:color="auto" w:fill="auto"/>
            <w:vAlign w:val="center"/>
          </w:tcPr>
          <w:p w14:paraId="784F730A">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2.0</w:t>
            </w:r>
          </w:p>
        </w:tc>
      </w:tr>
      <w:tr w14:paraId="2A6CD57B">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590" w:type="dxa"/>
            <w:tcBorders>
              <w:top w:val="nil"/>
              <w:left w:val="nil"/>
              <w:bottom w:val="nil"/>
              <w:right w:val="nil"/>
            </w:tcBorders>
            <w:shd w:val="clear" w:color="auto" w:fill="auto"/>
            <w:vAlign w:val="center"/>
          </w:tcPr>
          <w:p w14:paraId="46A74E4B">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深度叙事解读</w:t>
            </w:r>
          </w:p>
        </w:tc>
        <w:tc>
          <w:tcPr>
            <w:tcW w:w="544" w:type="dxa"/>
            <w:tcBorders>
              <w:top w:val="nil"/>
              <w:left w:val="nil"/>
              <w:bottom w:val="nil"/>
              <w:right w:val="nil"/>
            </w:tcBorders>
            <w:shd w:val="clear" w:color="auto" w:fill="auto"/>
            <w:vAlign w:val="center"/>
          </w:tcPr>
          <w:p w14:paraId="61C66A64">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4</w:t>
            </w:r>
          </w:p>
        </w:tc>
        <w:tc>
          <w:tcPr>
            <w:tcW w:w="750" w:type="dxa"/>
            <w:tcBorders>
              <w:top w:val="nil"/>
              <w:left w:val="nil"/>
              <w:bottom w:val="nil"/>
              <w:right w:val="nil"/>
            </w:tcBorders>
            <w:shd w:val="clear" w:color="auto" w:fill="auto"/>
            <w:vAlign w:val="center"/>
          </w:tcPr>
          <w:p w14:paraId="44325182">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2838</w:t>
            </w:r>
          </w:p>
        </w:tc>
        <w:tc>
          <w:tcPr>
            <w:tcW w:w="1352" w:type="dxa"/>
            <w:tcBorders>
              <w:top w:val="nil"/>
              <w:left w:val="nil"/>
              <w:bottom w:val="nil"/>
              <w:right w:val="nil"/>
            </w:tcBorders>
            <w:shd w:val="clear" w:color="auto" w:fill="auto"/>
            <w:vAlign w:val="center"/>
          </w:tcPr>
          <w:p w14:paraId="2636C34D">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3946.546887</w:t>
            </w:r>
          </w:p>
        </w:tc>
        <w:tc>
          <w:tcPr>
            <w:tcW w:w="831" w:type="dxa"/>
            <w:tcBorders>
              <w:top w:val="nil"/>
              <w:left w:val="nil"/>
              <w:bottom w:val="nil"/>
              <w:right w:val="nil"/>
            </w:tcBorders>
            <w:shd w:val="clear" w:color="auto" w:fill="auto"/>
            <w:vAlign w:val="center"/>
          </w:tcPr>
          <w:p w14:paraId="5F616058">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25.1</w:t>
            </w:r>
          </w:p>
        </w:tc>
        <w:tc>
          <w:tcPr>
            <w:tcW w:w="831" w:type="dxa"/>
            <w:tcBorders>
              <w:top w:val="nil"/>
              <w:left w:val="nil"/>
              <w:bottom w:val="nil"/>
              <w:right w:val="nil"/>
            </w:tcBorders>
            <w:shd w:val="clear" w:color="auto" w:fill="auto"/>
            <w:vAlign w:val="center"/>
          </w:tcPr>
          <w:p w14:paraId="7C33B5DA">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26.2</w:t>
            </w:r>
          </w:p>
        </w:tc>
        <w:tc>
          <w:tcPr>
            <w:tcW w:w="876" w:type="dxa"/>
            <w:tcBorders>
              <w:top w:val="nil"/>
              <w:left w:val="nil"/>
              <w:bottom w:val="nil"/>
              <w:right w:val="nil"/>
            </w:tcBorders>
            <w:shd w:val="clear" w:color="auto" w:fill="auto"/>
            <w:vAlign w:val="center"/>
          </w:tcPr>
          <w:p w14:paraId="087A4BAB">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0.23</w:t>
            </w:r>
          </w:p>
        </w:tc>
        <w:tc>
          <w:tcPr>
            <w:tcW w:w="876" w:type="dxa"/>
            <w:tcBorders>
              <w:top w:val="nil"/>
              <w:left w:val="nil"/>
              <w:bottom w:val="nil"/>
              <w:right w:val="nil"/>
            </w:tcBorders>
            <w:shd w:val="clear" w:color="auto" w:fill="auto"/>
            <w:vAlign w:val="center"/>
          </w:tcPr>
          <w:p w14:paraId="37C04E5D">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0.25</w:t>
            </w:r>
          </w:p>
        </w:tc>
        <w:tc>
          <w:tcPr>
            <w:tcW w:w="803" w:type="dxa"/>
            <w:tcBorders>
              <w:top w:val="nil"/>
              <w:left w:val="nil"/>
              <w:bottom w:val="nil"/>
              <w:right w:val="nil"/>
            </w:tcBorders>
            <w:shd w:val="clear" w:color="auto" w:fill="auto"/>
            <w:vAlign w:val="center"/>
          </w:tcPr>
          <w:p w14:paraId="7FC09ACA">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1.8</w:t>
            </w:r>
          </w:p>
        </w:tc>
        <w:tc>
          <w:tcPr>
            <w:tcW w:w="803" w:type="dxa"/>
            <w:tcBorders>
              <w:top w:val="nil"/>
              <w:left w:val="nil"/>
              <w:bottom w:val="nil"/>
              <w:right w:val="nil"/>
            </w:tcBorders>
            <w:shd w:val="clear" w:color="auto" w:fill="auto"/>
            <w:vAlign w:val="center"/>
          </w:tcPr>
          <w:p w14:paraId="3DDD8C88">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6.9</w:t>
            </w:r>
          </w:p>
        </w:tc>
      </w:tr>
      <w:tr w14:paraId="258B2CA8">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590" w:type="dxa"/>
            <w:tcBorders>
              <w:top w:val="nil"/>
              <w:left w:val="nil"/>
              <w:bottom w:val="nil"/>
              <w:right w:val="nil"/>
            </w:tcBorders>
            <w:shd w:val="clear" w:color="auto" w:fill="auto"/>
            <w:vAlign w:val="center"/>
          </w:tcPr>
          <w:p w14:paraId="1C75F636">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技术创新展示</w:t>
            </w:r>
          </w:p>
        </w:tc>
        <w:tc>
          <w:tcPr>
            <w:tcW w:w="544" w:type="dxa"/>
            <w:tcBorders>
              <w:top w:val="nil"/>
              <w:left w:val="nil"/>
              <w:bottom w:val="nil"/>
              <w:right w:val="nil"/>
            </w:tcBorders>
            <w:shd w:val="clear" w:color="auto" w:fill="auto"/>
            <w:vAlign w:val="center"/>
          </w:tcPr>
          <w:p w14:paraId="24A08D42">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2</w:t>
            </w:r>
          </w:p>
        </w:tc>
        <w:tc>
          <w:tcPr>
            <w:tcW w:w="750" w:type="dxa"/>
            <w:tcBorders>
              <w:top w:val="nil"/>
              <w:left w:val="nil"/>
              <w:bottom w:val="nil"/>
              <w:right w:val="nil"/>
            </w:tcBorders>
            <w:shd w:val="clear" w:color="auto" w:fill="auto"/>
            <w:vAlign w:val="center"/>
          </w:tcPr>
          <w:p w14:paraId="709F5871">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748</w:t>
            </w:r>
          </w:p>
        </w:tc>
        <w:tc>
          <w:tcPr>
            <w:tcW w:w="1352" w:type="dxa"/>
            <w:tcBorders>
              <w:top w:val="nil"/>
              <w:left w:val="nil"/>
              <w:bottom w:val="nil"/>
              <w:right w:val="nil"/>
            </w:tcBorders>
            <w:shd w:val="clear" w:color="auto" w:fill="auto"/>
            <w:vAlign w:val="center"/>
          </w:tcPr>
          <w:p w14:paraId="4816706E">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809.582348</w:t>
            </w:r>
          </w:p>
        </w:tc>
        <w:tc>
          <w:tcPr>
            <w:tcW w:w="831" w:type="dxa"/>
            <w:tcBorders>
              <w:top w:val="nil"/>
              <w:left w:val="nil"/>
              <w:bottom w:val="nil"/>
              <w:right w:val="nil"/>
            </w:tcBorders>
            <w:shd w:val="clear" w:color="auto" w:fill="auto"/>
            <w:vAlign w:val="center"/>
          </w:tcPr>
          <w:p w14:paraId="62A23F19">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24.3</w:t>
            </w:r>
          </w:p>
        </w:tc>
        <w:tc>
          <w:tcPr>
            <w:tcW w:w="831" w:type="dxa"/>
            <w:tcBorders>
              <w:top w:val="nil"/>
              <w:left w:val="nil"/>
              <w:bottom w:val="nil"/>
              <w:right w:val="nil"/>
            </w:tcBorders>
            <w:shd w:val="clear" w:color="auto" w:fill="auto"/>
            <w:vAlign w:val="center"/>
          </w:tcPr>
          <w:p w14:paraId="037D8FE4">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23.9</w:t>
            </w:r>
          </w:p>
        </w:tc>
        <w:tc>
          <w:tcPr>
            <w:tcW w:w="876" w:type="dxa"/>
            <w:tcBorders>
              <w:top w:val="nil"/>
              <w:left w:val="nil"/>
              <w:bottom w:val="nil"/>
              <w:right w:val="nil"/>
            </w:tcBorders>
            <w:shd w:val="clear" w:color="auto" w:fill="auto"/>
            <w:vAlign w:val="center"/>
          </w:tcPr>
          <w:p w14:paraId="20C15F8A">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0.28</w:t>
            </w:r>
          </w:p>
        </w:tc>
        <w:tc>
          <w:tcPr>
            <w:tcW w:w="876" w:type="dxa"/>
            <w:tcBorders>
              <w:top w:val="nil"/>
              <w:left w:val="nil"/>
              <w:bottom w:val="nil"/>
              <w:right w:val="nil"/>
            </w:tcBorders>
            <w:shd w:val="clear" w:color="auto" w:fill="auto"/>
            <w:vAlign w:val="center"/>
          </w:tcPr>
          <w:p w14:paraId="3FB7871C">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0.26</w:t>
            </w:r>
          </w:p>
        </w:tc>
        <w:tc>
          <w:tcPr>
            <w:tcW w:w="803" w:type="dxa"/>
            <w:tcBorders>
              <w:top w:val="nil"/>
              <w:left w:val="nil"/>
              <w:bottom w:val="nil"/>
              <w:right w:val="nil"/>
            </w:tcBorders>
            <w:shd w:val="clear" w:color="auto" w:fill="auto"/>
            <w:vAlign w:val="center"/>
          </w:tcPr>
          <w:p w14:paraId="207D145A">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0.4</w:t>
            </w:r>
          </w:p>
        </w:tc>
        <w:tc>
          <w:tcPr>
            <w:tcW w:w="803" w:type="dxa"/>
            <w:tcBorders>
              <w:top w:val="nil"/>
              <w:left w:val="nil"/>
              <w:bottom w:val="nil"/>
              <w:right w:val="nil"/>
            </w:tcBorders>
            <w:shd w:val="clear" w:color="auto" w:fill="auto"/>
            <w:vAlign w:val="center"/>
          </w:tcPr>
          <w:p w14:paraId="6546C766">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1.6</w:t>
            </w:r>
          </w:p>
        </w:tc>
      </w:tr>
      <w:tr w14:paraId="6856FAC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590" w:type="dxa"/>
            <w:tcBorders>
              <w:top w:val="nil"/>
              <w:left w:val="nil"/>
              <w:bottom w:val="single" w:color="auto" w:sz="12" w:space="0"/>
              <w:right w:val="nil"/>
            </w:tcBorders>
            <w:shd w:val="clear" w:color="auto" w:fill="auto"/>
            <w:vAlign w:val="center"/>
          </w:tcPr>
          <w:p w14:paraId="4C60B6EA">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社会议题探讨</w:t>
            </w:r>
          </w:p>
        </w:tc>
        <w:tc>
          <w:tcPr>
            <w:tcW w:w="544" w:type="dxa"/>
            <w:tcBorders>
              <w:top w:val="nil"/>
              <w:left w:val="nil"/>
              <w:bottom w:val="single" w:color="auto" w:sz="12" w:space="0"/>
              <w:right w:val="nil"/>
            </w:tcBorders>
            <w:shd w:val="clear" w:color="auto" w:fill="auto"/>
            <w:vAlign w:val="center"/>
          </w:tcPr>
          <w:p w14:paraId="716033CA">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1</w:t>
            </w:r>
          </w:p>
        </w:tc>
        <w:tc>
          <w:tcPr>
            <w:tcW w:w="750" w:type="dxa"/>
            <w:tcBorders>
              <w:top w:val="nil"/>
              <w:left w:val="nil"/>
              <w:bottom w:val="single" w:color="auto" w:sz="12" w:space="0"/>
              <w:right w:val="nil"/>
            </w:tcBorders>
            <w:shd w:val="clear" w:color="auto" w:fill="auto"/>
            <w:vAlign w:val="center"/>
          </w:tcPr>
          <w:p w14:paraId="7F399912">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1077</w:t>
            </w:r>
          </w:p>
        </w:tc>
        <w:tc>
          <w:tcPr>
            <w:tcW w:w="1352" w:type="dxa"/>
            <w:tcBorders>
              <w:top w:val="nil"/>
              <w:left w:val="nil"/>
              <w:bottom w:val="single" w:color="auto" w:sz="12" w:space="0"/>
              <w:right w:val="nil"/>
            </w:tcBorders>
            <w:shd w:val="clear" w:color="auto" w:fill="auto"/>
            <w:vAlign w:val="center"/>
          </w:tcPr>
          <w:p w14:paraId="21CF7B0C">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1800.940898</w:t>
            </w:r>
          </w:p>
        </w:tc>
        <w:tc>
          <w:tcPr>
            <w:tcW w:w="831" w:type="dxa"/>
            <w:tcBorders>
              <w:top w:val="nil"/>
              <w:left w:val="nil"/>
              <w:bottom w:val="single" w:color="auto" w:sz="12" w:space="0"/>
              <w:right w:val="nil"/>
            </w:tcBorders>
            <w:shd w:val="clear" w:color="auto" w:fill="auto"/>
            <w:vAlign w:val="center"/>
          </w:tcPr>
          <w:p w14:paraId="27392E6D">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22.8</w:t>
            </w:r>
          </w:p>
        </w:tc>
        <w:tc>
          <w:tcPr>
            <w:tcW w:w="831" w:type="dxa"/>
            <w:tcBorders>
              <w:top w:val="nil"/>
              <w:left w:val="nil"/>
              <w:bottom w:val="single" w:color="auto" w:sz="12" w:space="0"/>
              <w:right w:val="nil"/>
            </w:tcBorders>
            <w:shd w:val="clear" w:color="auto" w:fill="auto"/>
            <w:vAlign w:val="center"/>
          </w:tcPr>
          <w:p w14:paraId="5D12FF1C">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22.8</w:t>
            </w:r>
          </w:p>
        </w:tc>
        <w:tc>
          <w:tcPr>
            <w:tcW w:w="876" w:type="dxa"/>
            <w:tcBorders>
              <w:top w:val="nil"/>
              <w:left w:val="nil"/>
              <w:bottom w:val="single" w:color="auto" w:sz="12" w:space="0"/>
              <w:right w:val="nil"/>
            </w:tcBorders>
            <w:shd w:val="clear" w:color="auto" w:fill="auto"/>
            <w:vAlign w:val="center"/>
          </w:tcPr>
          <w:p w14:paraId="44B95671">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0.12</w:t>
            </w:r>
          </w:p>
        </w:tc>
        <w:tc>
          <w:tcPr>
            <w:tcW w:w="876" w:type="dxa"/>
            <w:tcBorders>
              <w:top w:val="nil"/>
              <w:left w:val="nil"/>
              <w:bottom w:val="single" w:color="auto" w:sz="12" w:space="0"/>
              <w:right w:val="nil"/>
            </w:tcBorders>
            <w:shd w:val="clear" w:color="auto" w:fill="auto"/>
            <w:vAlign w:val="center"/>
          </w:tcPr>
          <w:p w14:paraId="43D0E793">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0.12</w:t>
            </w:r>
          </w:p>
        </w:tc>
        <w:tc>
          <w:tcPr>
            <w:tcW w:w="803" w:type="dxa"/>
            <w:tcBorders>
              <w:top w:val="nil"/>
              <w:left w:val="nil"/>
              <w:bottom w:val="single" w:color="auto" w:sz="12" w:space="0"/>
              <w:right w:val="nil"/>
            </w:tcBorders>
            <w:shd w:val="clear" w:color="auto" w:fill="auto"/>
            <w:vAlign w:val="center"/>
          </w:tcPr>
          <w:p w14:paraId="46A3CB27">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0.8</w:t>
            </w:r>
          </w:p>
        </w:tc>
        <w:tc>
          <w:tcPr>
            <w:tcW w:w="803" w:type="dxa"/>
            <w:tcBorders>
              <w:top w:val="nil"/>
              <w:left w:val="nil"/>
              <w:bottom w:val="single" w:color="auto" w:sz="12" w:space="0"/>
              <w:right w:val="nil"/>
            </w:tcBorders>
            <w:shd w:val="clear" w:color="auto" w:fill="auto"/>
            <w:vAlign w:val="center"/>
          </w:tcPr>
          <w:p w14:paraId="5554F286">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1.9</w:t>
            </w:r>
          </w:p>
        </w:tc>
      </w:tr>
    </w:tbl>
    <w:p w14:paraId="112642FF">
      <w:pPr>
        <w:keepNext w:val="0"/>
        <w:keepLines w:val="0"/>
        <w:widowControl/>
        <w:numPr>
          <w:ilvl w:val="0"/>
          <w:numId w:val="0"/>
        </w:numPr>
        <w:suppressLineNumbers w:val="0"/>
        <w:pBdr>
          <w:left w:val="none" w:color="auto" w:sz="0" w:space="0"/>
        </w:pBdr>
        <w:tabs>
          <w:tab w:val="left" w:pos="720"/>
        </w:tabs>
        <w:spacing w:before="0" w:beforeAutospacing="1" w:after="0" w:afterAutospacing="1"/>
        <w:jc w:val="center"/>
      </w:pPr>
      <w:r>
        <w:rPr>
          <w:rFonts w:hint="eastAsia" w:asciiTheme="minorEastAsia" w:hAnsiTheme="minorEastAsia" w:eastAsiaTheme="minorEastAsia" w:cstheme="minorEastAsia"/>
        </w:rPr>
        <w:t xml:space="preserve">表 </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SEQ 表 \* ARABIC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lang w:val="en-US" w:eastAsia="zh-CN"/>
        </w:rPr>
        <w:t xml:space="preserve"> </w:t>
      </w:r>
      <w:r>
        <w:rPr>
          <w:rFonts w:hint="eastAsia" w:asciiTheme="minorEastAsia" w:hAnsiTheme="minorEastAsia" w:eastAsiaTheme="minorEastAsia" w:cstheme="minorEastAsia"/>
        </w:rPr>
        <w:t>传播主题统计分析</w:t>
      </w:r>
    </w:p>
    <w:p w14:paraId="70B73186">
      <w:pPr>
        <w:pStyle w:val="10"/>
        <w:keepNext w:val="0"/>
        <w:keepLines w:val="0"/>
        <w:widowControl/>
        <w:suppressLineNumbers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5266690" cy="2428875"/>
            <wp:effectExtent l="0" t="0" r="10160" b="9525"/>
            <wp:docPr id="27" name="图片 27" descr="图2_原始分析与加权分析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图2_原始分析与加权分析对比"/>
                    <pic:cNvPicPr>
                      <a:picLocks noChangeAspect="1"/>
                    </pic:cNvPicPr>
                  </pic:nvPicPr>
                  <pic:blipFill>
                    <a:blip r:embed="rId9"/>
                    <a:stretch>
                      <a:fillRect/>
                    </a:stretch>
                  </pic:blipFill>
                  <pic:spPr>
                    <a:xfrm>
                      <a:off x="0" y="0"/>
                      <a:ext cx="5266690" cy="2428875"/>
                    </a:xfrm>
                    <a:prstGeom prst="rect">
                      <a:avLst/>
                    </a:prstGeom>
                  </pic:spPr>
                </pic:pic>
              </a:graphicData>
            </a:graphic>
          </wp:inline>
        </w:drawing>
      </w:r>
    </w:p>
    <w:p w14:paraId="3274FF3A">
      <w:pPr>
        <w:pStyle w:val="5"/>
        <w:keepNext w:val="0"/>
        <w:keepLines w:val="0"/>
        <w:widowControl/>
        <w:suppressLineNumbers w:val="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rPr>
        <w:t xml:space="preserve">图 </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SEQ 图 \* ARABIC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lang w:val="en-US" w:eastAsia="zh-CN"/>
        </w:rPr>
        <w:t xml:space="preserve"> 原始分析与加权分析对比</w:t>
      </w:r>
    </w:p>
    <w:p w14:paraId="351D8A4E">
      <w:pPr>
        <w:pStyle w:val="10"/>
        <w:keepNext w:val="0"/>
        <w:keepLines w:val="0"/>
        <w:widowControl/>
        <w:suppressLineNumbers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5266690" cy="2935605"/>
            <wp:effectExtent l="0" t="0" r="10160" b="0"/>
            <wp:docPr id="28" name="图片 28" descr="图3_各传播主题加权正面率排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图3_各传播主题加权正面率排名"/>
                    <pic:cNvPicPr>
                      <a:picLocks noChangeAspect="1"/>
                    </pic:cNvPicPr>
                  </pic:nvPicPr>
                  <pic:blipFill>
                    <a:blip r:embed="rId10"/>
                    <a:stretch>
                      <a:fillRect/>
                    </a:stretch>
                  </pic:blipFill>
                  <pic:spPr>
                    <a:xfrm>
                      <a:off x="0" y="0"/>
                      <a:ext cx="5266690" cy="2935605"/>
                    </a:xfrm>
                    <a:prstGeom prst="rect">
                      <a:avLst/>
                    </a:prstGeom>
                  </pic:spPr>
                </pic:pic>
              </a:graphicData>
            </a:graphic>
          </wp:inline>
        </w:drawing>
      </w:r>
    </w:p>
    <w:p w14:paraId="597BD63C">
      <w:pPr>
        <w:keepNext w:val="0"/>
        <w:keepLines w:val="0"/>
        <w:widowControl/>
        <w:suppressLineNumbers w:val="0"/>
        <w:jc w:val="center"/>
        <w:rPr>
          <w:rFonts w:hint="eastAsia" w:asciiTheme="minorEastAsia" w:hAnsiTheme="minorEastAsia" w:eastAsiaTheme="minorEastAsia" w:cstheme="minorEastAsia"/>
          <w:kern w:val="0"/>
          <w:sz w:val="20"/>
          <w:szCs w:val="20"/>
          <w:lang w:val="en-US" w:eastAsia="zh-CN" w:bidi="ar"/>
        </w:rPr>
      </w:pPr>
      <w:r>
        <w:rPr>
          <w:rFonts w:hint="eastAsia" w:asciiTheme="minorEastAsia" w:hAnsiTheme="minorEastAsia" w:eastAsiaTheme="minorEastAsia" w:cstheme="minorEastAsia"/>
          <w:sz w:val="20"/>
          <w:szCs w:val="20"/>
        </w:rPr>
        <w:t xml:space="preserve">图 </w:t>
      </w:r>
      <w:r>
        <w:rPr>
          <w:rFonts w:hint="eastAsia" w:asciiTheme="minorEastAsia" w:hAnsiTheme="minorEastAsia" w:eastAsiaTheme="minorEastAsia" w:cstheme="minorEastAsia"/>
          <w:sz w:val="20"/>
          <w:szCs w:val="20"/>
        </w:rPr>
        <w:fldChar w:fldCharType="begin"/>
      </w:r>
      <w:r>
        <w:rPr>
          <w:rFonts w:hint="eastAsia" w:asciiTheme="minorEastAsia" w:hAnsiTheme="minorEastAsia" w:eastAsiaTheme="minorEastAsia" w:cstheme="minorEastAsia"/>
          <w:sz w:val="20"/>
          <w:szCs w:val="20"/>
        </w:rPr>
        <w:instrText xml:space="preserve"> SEQ 图 \* ARABIC </w:instrText>
      </w:r>
      <w:r>
        <w:rPr>
          <w:rFonts w:hint="eastAsia" w:asciiTheme="minorEastAsia" w:hAnsiTheme="minorEastAsia" w:eastAsiaTheme="minorEastAsia" w:cstheme="minorEastAsia"/>
          <w:sz w:val="20"/>
          <w:szCs w:val="20"/>
        </w:rPr>
        <w:fldChar w:fldCharType="separate"/>
      </w:r>
      <w:r>
        <w:rPr>
          <w:rFonts w:hint="eastAsia" w:asciiTheme="minorEastAsia" w:hAnsiTheme="minorEastAsia" w:eastAsiaTheme="minorEastAsia" w:cstheme="minorEastAsia"/>
          <w:sz w:val="20"/>
          <w:szCs w:val="20"/>
        </w:rPr>
        <w:t>4</w:t>
      </w:r>
      <w:r>
        <w:rPr>
          <w:rFonts w:hint="eastAsia" w:asciiTheme="minorEastAsia" w:hAnsiTheme="minorEastAsia" w:eastAsiaTheme="minorEastAsia" w:cstheme="minorEastAsia"/>
          <w:sz w:val="20"/>
          <w:szCs w:val="20"/>
        </w:rPr>
        <w:fldChar w:fldCharType="end"/>
      </w:r>
      <w:r>
        <w:rPr>
          <w:rFonts w:hint="eastAsia" w:asciiTheme="minorEastAsia" w:hAnsiTheme="minorEastAsia" w:eastAsiaTheme="minorEastAsia" w:cstheme="minorEastAsia"/>
          <w:sz w:val="20"/>
          <w:szCs w:val="20"/>
          <w:lang w:val="en-US" w:eastAsia="zh-CN"/>
        </w:rPr>
        <w:t xml:space="preserve"> </w:t>
      </w:r>
      <w:r>
        <w:rPr>
          <w:rFonts w:hint="eastAsia" w:asciiTheme="minorEastAsia" w:hAnsiTheme="minorEastAsia" w:eastAsiaTheme="minorEastAsia" w:cstheme="minorEastAsia"/>
          <w:kern w:val="0"/>
          <w:sz w:val="20"/>
          <w:szCs w:val="20"/>
          <w:lang w:val="en-US" w:eastAsia="zh-CN" w:bidi="ar"/>
        </w:rPr>
        <w:t>各传播主题加权正面率排名</w:t>
      </w:r>
    </w:p>
    <w:p w14:paraId="247C9917">
      <w:pPr>
        <w:pStyle w:val="10"/>
        <w:keepNext w:val="0"/>
        <w:keepLines w:val="0"/>
        <w:widowControl/>
        <w:suppressLineNumbers w:val="0"/>
        <w:spacing w:before="0" w:beforeAutospacing="1" w:after="0" w:afterAutospacing="1"/>
        <w:ind w:left="0" w:right="0"/>
        <w:jc w:val="left"/>
        <w:rPr>
          <w:rFonts w:hint="eastAsia"/>
        </w:rPr>
      </w:pPr>
      <w:r>
        <w:rPr>
          <w:rFonts w:hint="eastAsia"/>
        </w:rPr>
        <w:t>借助评论内容的词云分析（见图 5），可以直观把握用户聚焦的文化关注点。从词汇出现的频次来看，用户评论明显偏向文化类主题：像 “敦煌”“凉州”“归义军” 这类历史地理相关的词汇高频出现，能看出游戏在地域文化传播上确实起到了不错的效果；而 “感动”“震撼”“支持” 这类体现情感认同的词分布较密，也从语义角度呼应了之前的情感分析结论；另外 “壁画”“古曲”“乐舞” 等传统艺术相关词汇的突出呈现，说明用户对游戏里融入的传统艺术形式有着比较深入的感知。</w:t>
      </w:r>
    </w:p>
    <w:p w14:paraId="7D4E7B47">
      <w:pPr>
        <w:pStyle w:val="10"/>
        <w:keepNext w:val="0"/>
        <w:keepLines w:val="0"/>
        <w:widowControl/>
        <w:suppressLineNumbers w:val="0"/>
        <w:spacing w:before="0" w:beforeAutospacing="1" w:after="0" w:afterAutospacing="1"/>
        <w:ind w:left="0" w:right="0"/>
        <w:jc w:val="left"/>
      </w:pPr>
      <w:r>
        <w:rPr>
          <w:rFonts w:hint="eastAsia"/>
        </w:rPr>
        <w:t>特别值得注意的是，“张议潮”“动作捕捉”等专业历史名词和技术术语获得高频提及，表明游戏内容有效激发了用户对历史文化和技术艺术的探索兴趣。词云分析从语义维度进一步证实了“核心文化传承”主题在构建用户文化认知方面的核心作用，同时也揭示了用户在接触游戏文化内容时的情感共鸣点和知识关注点。</w:t>
      </w:r>
    </w:p>
    <w:p w14:paraId="59DE15CB">
      <w:pPr>
        <w:keepNext w:val="0"/>
        <w:keepLines w:val="0"/>
        <w:widowControl/>
        <w:suppressLineNumbers w:val="0"/>
        <w:jc w:val="both"/>
        <w:rPr>
          <w:rFonts w:hint="eastAsia" w:asciiTheme="minorEastAsia" w:hAnsiTheme="minorEastAsia" w:eastAsiaTheme="minorEastAsia" w:cstheme="minorEastAsia"/>
          <w:kern w:val="0"/>
          <w:sz w:val="20"/>
          <w:szCs w:val="20"/>
          <w:lang w:val="en-US" w:eastAsia="zh-CN" w:bidi="ar"/>
        </w:rPr>
      </w:pPr>
      <w:r>
        <w:rPr>
          <w:rFonts w:hint="eastAsia" w:asciiTheme="minorEastAsia" w:hAnsiTheme="minorEastAsia" w:eastAsiaTheme="minorEastAsia" w:cstheme="minorEastAsia"/>
          <w:kern w:val="0"/>
          <w:sz w:val="20"/>
          <w:szCs w:val="20"/>
          <w:lang w:val="en-US" w:eastAsia="zh-CN" w:bidi="ar"/>
        </w:rPr>
        <w:drawing>
          <wp:inline distT="0" distB="0" distL="114300" distR="114300">
            <wp:extent cx="5270500" cy="3607435"/>
            <wp:effectExtent l="0" t="0" r="6350" b="12065"/>
            <wp:docPr id="23" name="图片 23" descr="词云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词云图"/>
                    <pic:cNvPicPr>
                      <a:picLocks noChangeAspect="1"/>
                    </pic:cNvPicPr>
                  </pic:nvPicPr>
                  <pic:blipFill>
                    <a:blip r:embed="rId11"/>
                    <a:stretch>
                      <a:fillRect/>
                    </a:stretch>
                  </pic:blipFill>
                  <pic:spPr>
                    <a:xfrm>
                      <a:off x="0" y="0"/>
                      <a:ext cx="5270500" cy="3607435"/>
                    </a:xfrm>
                    <a:prstGeom prst="rect">
                      <a:avLst/>
                    </a:prstGeom>
                  </pic:spPr>
                </pic:pic>
              </a:graphicData>
            </a:graphic>
          </wp:inline>
        </w:drawing>
      </w:r>
    </w:p>
    <w:p w14:paraId="50002A0F">
      <w:pPr>
        <w:pStyle w:val="5"/>
        <w:keepNext w:val="0"/>
        <w:keepLines w:val="0"/>
        <w:widowControl/>
        <w:suppressLineNumbers w:val="0"/>
        <w:jc w:val="center"/>
        <w:rPr>
          <w:rFonts w:hint="default" w:eastAsia="黑体" w:asciiTheme="minorEastAsia" w:hAnsiTheme="minorEastAsia" w:cstheme="minorEastAsia"/>
          <w:kern w:val="0"/>
          <w:sz w:val="20"/>
          <w:szCs w:val="20"/>
          <w:lang w:val="en-US" w:eastAsia="zh-CN" w:bidi="ar"/>
        </w:rPr>
      </w:pPr>
      <w:r>
        <w:t xml:space="preserve">图 </w:t>
      </w:r>
      <w:r>
        <w:fldChar w:fldCharType="begin"/>
      </w:r>
      <w:r>
        <w:instrText xml:space="preserve"> SEQ 图 \* ARABIC </w:instrText>
      </w:r>
      <w:r>
        <w:fldChar w:fldCharType="separate"/>
      </w:r>
      <w:r>
        <w:t>5</w:t>
      </w:r>
      <w:r>
        <w:fldChar w:fldCharType="end"/>
      </w:r>
      <w:r>
        <w:rPr>
          <w:rFonts w:hint="eastAsia"/>
          <w:lang w:val="en-US" w:eastAsia="zh-CN"/>
        </w:rPr>
        <w:t xml:space="preserve"> 评论内容词云图</w:t>
      </w:r>
    </w:p>
    <w:p w14:paraId="6EE9A007">
      <w:pPr>
        <w:pStyle w:val="3"/>
        <w:keepNext w:val="0"/>
        <w:keepLines w:val="0"/>
        <w:widowControl/>
        <w:numPr>
          <w:ilvl w:val="0"/>
          <w:numId w:val="0"/>
        </w:numPr>
        <w:suppressLineNumbers w:val="0"/>
        <w:pBdr>
          <w:left w:val="none" w:color="auto" w:sz="0" w:space="0"/>
        </w:pBdr>
        <w:ind w:leftChars="0"/>
        <w:jc w:val="left"/>
      </w:pPr>
      <w:bookmarkStart w:id="14" w:name="_Toc16742"/>
      <w:r>
        <w:t>4.3 深度情感与行为转化：叙事类主题更易激发深度反馈</w:t>
      </w:r>
      <w:bookmarkEnd w:id="14"/>
    </w:p>
    <w:p w14:paraId="06258133">
      <w:pPr>
        <w:pStyle w:val="4"/>
        <w:keepNext w:val="0"/>
        <w:keepLines w:val="0"/>
        <w:widowControl/>
        <w:numPr>
          <w:ilvl w:val="0"/>
          <w:numId w:val="0"/>
        </w:numPr>
        <w:suppressLineNumbers w:val="0"/>
        <w:pBdr>
          <w:left w:val="none" w:color="auto" w:sz="0" w:space="0"/>
        </w:pBdr>
        <w:ind w:leftChars="0"/>
        <w:jc w:val="left"/>
      </w:pPr>
      <w:r>
        <w:t>4.3.1 深度情感比例：深度叙事解读主题最优</w:t>
      </w:r>
    </w:p>
    <w:p w14:paraId="3BD79747">
      <w:pPr>
        <w:pStyle w:val="10"/>
        <w:keepNext w:val="0"/>
        <w:keepLines w:val="0"/>
        <w:widowControl/>
        <w:suppressLineNumbers w:val="0"/>
        <w:spacing w:before="0" w:beforeAutospacing="1" w:after="0" w:afterAutospacing="1"/>
        <w:ind w:left="0" w:right="0"/>
        <w:jc w:val="left"/>
      </w:pPr>
      <w:r>
        <w:t>深度情感比例（图</w:t>
      </w:r>
      <w:r>
        <w:rPr>
          <w:rFonts w:hint="eastAsia"/>
          <w:lang w:val="en-US" w:eastAsia="zh-CN"/>
        </w:rPr>
        <w:t>6</w:t>
      </w:r>
      <w:r>
        <w:t>）反映不同主题激发 “文化自豪、情感共鸣” 的能力：</w:t>
      </w:r>
    </w:p>
    <w:p w14:paraId="10C01605">
      <w:pPr>
        <w:pStyle w:val="10"/>
        <w:keepNext w:val="0"/>
        <w:keepLines w:val="0"/>
        <w:widowControl/>
        <w:numPr>
          <w:ilvl w:val="0"/>
          <w:numId w:val="0"/>
        </w:numPr>
        <w:suppressLineNumbers w:val="0"/>
        <w:spacing w:before="0" w:beforeAutospacing="1" w:after="0" w:afterAutospacing="1"/>
        <w:ind w:leftChars="0" w:right="0" w:rightChars="0"/>
        <w:jc w:val="left"/>
      </w:pPr>
      <w:r>
        <w:rPr>
          <w:rFonts w:hint="eastAsia"/>
        </w:rPr>
        <w:t>“深度叙事解读”以1.8%的深度情感比例排名第一，说明“通过剧情解读文化”的方式更易让用户产生深度情感共鸣（如对历史人物命运的共情、对文化精神的认同）；“核心文化传承”与“社会责任实践”并列第二（1.2%），前者因“直接呈现文化符号”（如敦煌壁画还原）、后者因“传递公益价值”，均能引发部分深度情感；“文旅融合体验”深度情感比例为0%，尽管其整体正面率最高，但多停留在“视觉震撼”（如“敦煌场景太美了”）的表层反馈，尚未转化为深度情感；所有主题的深度情感比例均低于2%，反映当前游戏文化传播在“情感内化”方面仍有较大提升空间。</w:t>
      </w:r>
    </w:p>
    <w:p w14:paraId="5D0FFFC6">
      <w:pPr>
        <w:keepNext w:val="0"/>
        <w:keepLines w:val="0"/>
        <w:widowControl/>
        <w:suppressLineNumbers w:val="0"/>
        <w:jc w:val="center"/>
      </w:pPr>
      <w:r>
        <w:rPr>
          <w:rFonts w:hint="eastAsia" w:asciiTheme="minorEastAsia" w:hAnsiTheme="minorEastAsia" w:eastAsiaTheme="minorEastAsia" w:cstheme="minorEastAsia"/>
        </w:rPr>
        <w:drawing>
          <wp:inline distT="0" distB="0" distL="114300" distR="114300">
            <wp:extent cx="5266690" cy="2898775"/>
            <wp:effectExtent l="0" t="0" r="10160" b="15875"/>
            <wp:docPr id="29" name="图片 29" descr="图4_各主题深度情感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图4_各主题深度情感比例"/>
                    <pic:cNvPicPr>
                      <a:picLocks noChangeAspect="1"/>
                    </pic:cNvPicPr>
                  </pic:nvPicPr>
                  <pic:blipFill>
                    <a:blip r:embed="rId12"/>
                    <a:stretch>
                      <a:fillRect/>
                    </a:stretch>
                  </pic:blipFill>
                  <pic:spPr>
                    <a:xfrm>
                      <a:off x="0" y="0"/>
                      <a:ext cx="5266690" cy="2898775"/>
                    </a:xfrm>
                    <a:prstGeom prst="rect">
                      <a:avLst/>
                    </a:prstGeom>
                  </pic:spPr>
                </pic:pic>
              </a:graphicData>
            </a:graphic>
          </wp:inline>
        </w:drawing>
      </w:r>
      <w:r>
        <w:rPr>
          <w:rFonts w:hint="eastAsia" w:asciiTheme="minorEastAsia" w:hAnsiTheme="minorEastAsia" w:eastAsiaTheme="minorEastAsia" w:cstheme="minorEastAsia"/>
          <w:sz w:val="20"/>
          <w:szCs w:val="20"/>
        </w:rPr>
        <w:t xml:space="preserve">图 </w:t>
      </w:r>
      <w:r>
        <w:rPr>
          <w:rFonts w:hint="eastAsia" w:asciiTheme="minorEastAsia" w:hAnsiTheme="minorEastAsia" w:eastAsiaTheme="minorEastAsia" w:cstheme="minorEastAsia"/>
          <w:sz w:val="20"/>
          <w:szCs w:val="20"/>
        </w:rPr>
        <w:fldChar w:fldCharType="begin"/>
      </w:r>
      <w:r>
        <w:rPr>
          <w:rFonts w:hint="eastAsia" w:asciiTheme="minorEastAsia" w:hAnsiTheme="minorEastAsia" w:eastAsiaTheme="minorEastAsia" w:cstheme="minorEastAsia"/>
          <w:sz w:val="20"/>
          <w:szCs w:val="20"/>
        </w:rPr>
        <w:instrText xml:space="preserve"> SEQ 图 \* ARABIC </w:instrText>
      </w:r>
      <w:r>
        <w:rPr>
          <w:rFonts w:hint="eastAsia" w:asciiTheme="minorEastAsia" w:hAnsiTheme="minorEastAsia" w:eastAsiaTheme="minorEastAsia" w:cstheme="minorEastAsia"/>
          <w:sz w:val="20"/>
          <w:szCs w:val="20"/>
        </w:rPr>
        <w:fldChar w:fldCharType="separate"/>
      </w:r>
      <w:r>
        <w:rPr>
          <w:rFonts w:hint="eastAsia" w:asciiTheme="minorEastAsia" w:hAnsiTheme="minorEastAsia" w:eastAsiaTheme="minorEastAsia" w:cstheme="minorEastAsia"/>
          <w:sz w:val="20"/>
          <w:szCs w:val="20"/>
        </w:rPr>
        <w:t>6</w:t>
      </w:r>
      <w:r>
        <w:rPr>
          <w:rFonts w:hint="eastAsia" w:asciiTheme="minorEastAsia" w:hAnsiTheme="minorEastAsia" w:eastAsiaTheme="minorEastAsia" w:cstheme="minorEastAsia"/>
          <w:sz w:val="20"/>
          <w:szCs w:val="20"/>
        </w:rPr>
        <w:fldChar w:fldCharType="end"/>
      </w:r>
      <w:r>
        <w:rPr>
          <w:rFonts w:hint="eastAsia" w:asciiTheme="minorEastAsia" w:hAnsiTheme="minorEastAsia" w:eastAsiaTheme="minorEastAsia" w:cstheme="minorEastAsia"/>
          <w:sz w:val="20"/>
          <w:szCs w:val="20"/>
          <w:lang w:val="en-US" w:eastAsia="zh-CN"/>
        </w:rPr>
        <w:t xml:space="preserve"> </w:t>
      </w:r>
      <w:r>
        <w:rPr>
          <w:rFonts w:hint="eastAsia" w:asciiTheme="minorEastAsia" w:hAnsiTheme="minorEastAsia" w:eastAsiaTheme="minorEastAsia" w:cstheme="minorEastAsia"/>
          <w:kern w:val="0"/>
          <w:sz w:val="20"/>
          <w:szCs w:val="20"/>
          <w:lang w:val="en-US" w:eastAsia="zh-CN" w:bidi="ar"/>
        </w:rPr>
        <w:t>各主题深度情感比例</w:t>
      </w:r>
    </w:p>
    <w:p w14:paraId="1B50BA71">
      <w:pPr>
        <w:pStyle w:val="4"/>
        <w:keepNext w:val="0"/>
        <w:keepLines w:val="0"/>
        <w:widowControl/>
        <w:numPr>
          <w:ilvl w:val="0"/>
          <w:numId w:val="0"/>
        </w:numPr>
        <w:suppressLineNumbers w:val="0"/>
        <w:pBdr>
          <w:left w:val="none" w:color="auto" w:sz="0" w:space="0"/>
        </w:pBdr>
        <w:ind w:leftChars="0"/>
        <w:jc w:val="left"/>
      </w:pPr>
      <w:r>
        <w:t>4.3.2 行为意向比例：核心文化传承主题领先</w:t>
      </w:r>
    </w:p>
    <w:p w14:paraId="5824C385">
      <w:pPr>
        <w:pStyle w:val="10"/>
        <w:keepNext w:val="0"/>
        <w:keepLines w:val="0"/>
        <w:widowControl/>
        <w:suppressLineNumbers w:val="0"/>
        <w:spacing w:before="0" w:beforeAutospacing="1" w:after="0" w:afterAutospacing="1"/>
        <w:ind w:left="0" w:right="0"/>
        <w:jc w:val="left"/>
        <w:rPr>
          <w:rFonts w:hint="eastAsia"/>
        </w:rPr>
      </w:pPr>
      <w:r>
        <w:rPr>
          <w:rFonts w:hint="eastAsia"/>
        </w:rPr>
        <w:t>行为意向比例（图7）衡量主题激发用户实际行动意愿的能力：</w:t>
      </w:r>
    </w:p>
    <w:p w14:paraId="5F9CB37F">
      <w:pPr>
        <w:pStyle w:val="10"/>
        <w:keepNext w:val="0"/>
        <w:keepLines w:val="0"/>
        <w:widowControl/>
        <w:suppressLineNumbers w:val="0"/>
        <w:spacing w:before="0" w:beforeAutospacing="1" w:after="0" w:afterAutospacing="1"/>
        <w:ind w:left="0" w:right="0"/>
        <w:jc w:val="left"/>
        <w:rPr>
          <w:rFonts w:hint="eastAsia"/>
        </w:rPr>
      </w:pPr>
      <w:r>
        <w:rPr>
          <w:rFonts w:hint="eastAsia"/>
        </w:rPr>
        <w:t>“核心文化传承”以9.8%的行为意向比例排名第一，其中“旅游意愿”（5.4%）与“搜索学习意愿”（3.2%）贡献最大，说明“直接呈现文化元素”的内容更易推动用户“主动了解文化、实地体验文化”；“文旅融合体验”与“深度叙事解读”并列第二（6.9%），前者因“线下地标的强关联”激发旅游意愿，后者因“剧情引发的好奇心”激发搜索学习意愿；“技术创新展示”（1.6%）与“社会议题探讨”（1.9%）的行为意向比例最低，反映“技术解读”与“社会讨论”类内容的“行动转化力”较弱；所有主题的“二次创作意愿”均低于1%，说明当前内容对用户“创作激励”不足，难以形成“传播-创作-再传播”的链式效应。</w:t>
      </w:r>
    </w:p>
    <w:p w14:paraId="27C68E83">
      <w:pPr>
        <w:pStyle w:val="10"/>
        <w:keepNext w:val="0"/>
        <w:keepLines w:val="0"/>
        <w:widowControl/>
        <w:suppressLineNumbers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5266690" cy="2905760"/>
            <wp:effectExtent l="0" t="0" r="10160" b="0"/>
            <wp:docPr id="30" name="图片 30" descr="图5_各主题行为意向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图5_各主题行为意向比例"/>
                    <pic:cNvPicPr>
                      <a:picLocks noChangeAspect="1"/>
                    </pic:cNvPicPr>
                  </pic:nvPicPr>
                  <pic:blipFill>
                    <a:blip r:embed="rId13"/>
                    <a:stretch>
                      <a:fillRect/>
                    </a:stretch>
                  </pic:blipFill>
                  <pic:spPr>
                    <a:xfrm>
                      <a:off x="0" y="0"/>
                      <a:ext cx="5266690" cy="2905760"/>
                    </a:xfrm>
                    <a:prstGeom prst="rect">
                      <a:avLst/>
                    </a:prstGeom>
                  </pic:spPr>
                </pic:pic>
              </a:graphicData>
            </a:graphic>
          </wp:inline>
        </w:drawing>
      </w:r>
    </w:p>
    <w:p w14:paraId="72AD5063">
      <w:pPr>
        <w:pStyle w:val="5"/>
        <w:keepNext w:val="0"/>
        <w:keepLines w:val="0"/>
        <w:widowControl/>
        <w:suppressLineNumbers w:val="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rPr>
        <w:t xml:space="preserve">图 </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SEQ 图 \* ARABIC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7</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lang w:val="en-US" w:eastAsia="zh-CN"/>
        </w:rPr>
        <w:t xml:space="preserve"> 各主题行为意向比例</w:t>
      </w:r>
    </w:p>
    <w:p w14:paraId="46C32450">
      <w:pPr>
        <w:pStyle w:val="3"/>
        <w:keepNext w:val="0"/>
        <w:keepLines w:val="0"/>
        <w:widowControl/>
        <w:numPr>
          <w:ilvl w:val="0"/>
          <w:numId w:val="0"/>
        </w:numPr>
        <w:suppressLineNumbers w:val="0"/>
        <w:pBdr>
          <w:left w:val="none" w:color="auto" w:sz="0" w:space="0"/>
        </w:pBdr>
        <w:ind w:leftChars="0"/>
        <w:jc w:val="left"/>
      </w:pPr>
      <w:bookmarkStart w:id="15" w:name="_Toc12452"/>
      <w:r>
        <w:t>4.4 传播深度层次：主题间差异显著</w:t>
      </w:r>
      <w:bookmarkEnd w:id="15"/>
    </w:p>
    <w:p w14:paraId="738D1030">
      <w:pPr>
        <w:pStyle w:val="10"/>
        <w:keepNext w:val="0"/>
        <w:keepLines w:val="0"/>
        <w:widowControl/>
        <w:suppressLineNumbers w:val="0"/>
        <w:spacing w:before="0" w:beforeAutospacing="1" w:after="0" w:afterAutospacing="1"/>
        <w:ind w:left="0" w:right="0"/>
        <w:jc w:val="left"/>
        <w:rPr>
          <w:rFonts w:hint="eastAsia"/>
        </w:rPr>
      </w:pPr>
      <w:r>
        <w:rPr>
          <w:rFonts w:hint="eastAsia"/>
        </w:rPr>
        <w:t>传播深度层次以“认知-情感-行为”的综合效果为衡量标准，通过加权计算各主题的“传播深度得分”（表4、图8）：</w:t>
      </w:r>
    </w:p>
    <w:p w14:paraId="7B5BC758">
      <w:pPr>
        <w:pStyle w:val="10"/>
        <w:keepNext w:val="0"/>
        <w:keepLines w:val="0"/>
        <w:widowControl/>
        <w:suppressLineNumbers w:val="0"/>
        <w:spacing w:before="0" w:beforeAutospacing="1" w:after="0" w:afterAutospacing="1"/>
        <w:ind w:left="0" w:right="0"/>
        <w:jc w:val="left"/>
      </w:pPr>
      <w:r>
        <w:rPr>
          <w:rFonts w:hint="eastAsia"/>
        </w:rPr>
        <w:t>“核心文化传承”传播深度得分最高（24.6%），其“高关注度+较高情感反馈+最优行为转化”的组合，使其成为“综合效果最优”的主题；“深度叙事解读”排名第二（28.1%），凭借“最高关注度+最优深度情感”，在“用户参与深度”上表现突出；“社会议题探讨”排名第三（24.0%），尽管整体情感与行为转化较弱，但“中等关注度+稳定反馈”使其保持一定传播深度；“文旅融合体验”因样本量极小，未进入综合排名，但从“单位样本效果”来看，其“高情感反馈”仍具备挖掘潜力。</w:t>
      </w:r>
    </w:p>
    <w:tbl>
      <w:tblPr>
        <w:tblStyle w:val="11"/>
        <w:tblW w:w="8465" w:type="dxa"/>
        <w:jc w:val="center"/>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230"/>
        <w:gridCol w:w="1099"/>
        <w:gridCol w:w="1099"/>
        <w:gridCol w:w="1501"/>
        <w:gridCol w:w="1768"/>
        <w:gridCol w:w="1768"/>
      </w:tblGrid>
      <w:tr w14:paraId="5D21C721">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rPr>
          <w:trHeight w:val="0" w:hRule="atLeast"/>
          <w:tblHeader/>
          <w:jc w:val="center"/>
        </w:trPr>
        <w:tc>
          <w:tcPr>
            <w:tcW w:w="1230" w:type="dxa"/>
            <w:tcBorders>
              <w:top w:val="single" w:color="auto" w:sz="12" w:space="0"/>
              <w:left w:val="nil"/>
              <w:bottom w:val="single" w:color="auto" w:sz="4" w:space="0"/>
              <w:right w:val="nil"/>
            </w:tcBorders>
            <w:shd w:val="clear" w:color="auto" w:fill="auto"/>
            <w:vAlign w:val="center"/>
          </w:tcPr>
          <w:p w14:paraId="6F93088A">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b/>
              </w:rPr>
            </w:pPr>
            <w:r>
              <w:rPr>
                <w:rStyle w:val="14"/>
                <w:rFonts w:hint="eastAsia" w:asciiTheme="minorEastAsia" w:hAnsiTheme="minorEastAsia" w:eastAsiaTheme="minorEastAsia" w:cstheme="minorEastAsia"/>
                <w:b/>
                <w:bCs/>
              </w:rPr>
              <w:t>传播深度</w:t>
            </w:r>
          </w:p>
        </w:tc>
        <w:tc>
          <w:tcPr>
            <w:tcW w:w="1099" w:type="dxa"/>
            <w:tcBorders>
              <w:top w:val="single" w:color="auto" w:sz="12" w:space="0"/>
              <w:left w:val="nil"/>
              <w:bottom w:val="single" w:color="auto" w:sz="4" w:space="0"/>
              <w:right w:val="nil"/>
            </w:tcBorders>
            <w:shd w:val="clear" w:color="auto" w:fill="auto"/>
            <w:vAlign w:val="center"/>
          </w:tcPr>
          <w:p w14:paraId="4883DDA9">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b/>
              </w:rPr>
            </w:pPr>
            <w:r>
              <w:rPr>
                <w:rStyle w:val="14"/>
                <w:rFonts w:hint="eastAsia" w:asciiTheme="minorEastAsia" w:hAnsiTheme="minorEastAsia" w:eastAsiaTheme="minorEastAsia" w:cstheme="minorEastAsia"/>
                <w:b/>
                <w:bCs/>
              </w:rPr>
              <w:t>主题数量</w:t>
            </w:r>
          </w:p>
        </w:tc>
        <w:tc>
          <w:tcPr>
            <w:tcW w:w="1099" w:type="dxa"/>
            <w:tcBorders>
              <w:top w:val="single" w:color="auto" w:sz="12" w:space="0"/>
              <w:left w:val="nil"/>
              <w:bottom w:val="single" w:color="auto" w:sz="4" w:space="0"/>
              <w:right w:val="nil"/>
            </w:tcBorders>
            <w:shd w:val="clear" w:color="auto" w:fill="auto"/>
            <w:vAlign w:val="center"/>
          </w:tcPr>
          <w:p w14:paraId="1260BBF3">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b/>
              </w:rPr>
            </w:pPr>
            <w:r>
              <w:rPr>
                <w:rStyle w:val="14"/>
                <w:rFonts w:hint="eastAsia" w:asciiTheme="minorEastAsia" w:hAnsiTheme="minorEastAsia" w:eastAsiaTheme="minorEastAsia" w:cstheme="minorEastAsia"/>
                <w:b/>
                <w:bCs/>
              </w:rPr>
              <w:t>评论数量</w:t>
            </w:r>
          </w:p>
        </w:tc>
        <w:tc>
          <w:tcPr>
            <w:tcW w:w="1501" w:type="dxa"/>
            <w:tcBorders>
              <w:top w:val="single" w:color="auto" w:sz="12" w:space="0"/>
              <w:left w:val="nil"/>
              <w:bottom w:val="single" w:color="auto" w:sz="4" w:space="0"/>
              <w:right w:val="nil"/>
            </w:tcBorders>
            <w:shd w:val="clear" w:color="auto" w:fill="auto"/>
            <w:vAlign w:val="center"/>
          </w:tcPr>
          <w:p w14:paraId="0250FF7B">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b/>
                <w:lang w:val="en-US" w:eastAsia="zh-CN"/>
              </w:rPr>
            </w:pPr>
            <w:r>
              <w:rPr>
                <w:rStyle w:val="14"/>
                <w:rFonts w:hint="eastAsia" w:asciiTheme="minorEastAsia" w:hAnsiTheme="minorEastAsia" w:eastAsiaTheme="minorEastAsia" w:cstheme="minorEastAsia"/>
                <w:b/>
                <w:bCs/>
              </w:rPr>
              <w:t>加权正面率</w:t>
            </w:r>
            <w:r>
              <w:rPr>
                <w:rFonts w:hint="eastAsia" w:asciiTheme="minorEastAsia" w:hAnsiTheme="minorEastAsia" w:cstheme="minorEastAsia"/>
                <w:b/>
                <w:lang w:val="en-US" w:eastAsia="zh-CN"/>
              </w:rPr>
              <w:t>%</w:t>
            </w:r>
          </w:p>
        </w:tc>
        <w:tc>
          <w:tcPr>
            <w:tcW w:w="1768" w:type="dxa"/>
            <w:tcBorders>
              <w:top w:val="single" w:color="auto" w:sz="12" w:space="0"/>
              <w:left w:val="nil"/>
              <w:bottom w:val="single" w:color="auto" w:sz="4" w:space="0"/>
              <w:right w:val="nil"/>
            </w:tcBorders>
            <w:shd w:val="clear" w:color="auto" w:fill="auto"/>
            <w:vAlign w:val="center"/>
          </w:tcPr>
          <w:p w14:paraId="0B0CE951">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b/>
                <w:lang w:val="en-US" w:eastAsia="zh-CN"/>
              </w:rPr>
            </w:pPr>
            <w:r>
              <w:rPr>
                <w:rStyle w:val="14"/>
                <w:rFonts w:hint="eastAsia" w:asciiTheme="minorEastAsia" w:hAnsiTheme="minorEastAsia" w:eastAsiaTheme="minorEastAsia" w:cstheme="minorEastAsia"/>
                <w:b/>
                <w:bCs/>
              </w:rPr>
              <w:t>深度情感比例</w:t>
            </w:r>
            <w:r>
              <w:rPr>
                <w:rFonts w:hint="eastAsia" w:asciiTheme="minorEastAsia" w:hAnsiTheme="minorEastAsia" w:cstheme="minorEastAsia"/>
                <w:b/>
                <w:lang w:val="en-US" w:eastAsia="zh-CN"/>
              </w:rPr>
              <w:t>%</w:t>
            </w:r>
          </w:p>
        </w:tc>
        <w:tc>
          <w:tcPr>
            <w:tcW w:w="1768" w:type="dxa"/>
            <w:tcBorders>
              <w:top w:val="single" w:color="auto" w:sz="12" w:space="0"/>
              <w:left w:val="nil"/>
              <w:bottom w:val="single" w:color="auto" w:sz="4" w:space="0"/>
              <w:right w:val="nil"/>
            </w:tcBorders>
            <w:shd w:val="clear" w:color="auto" w:fill="auto"/>
            <w:vAlign w:val="center"/>
          </w:tcPr>
          <w:p w14:paraId="1C96EBF3">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b/>
                <w:lang w:val="en-US" w:eastAsia="zh-CN"/>
              </w:rPr>
            </w:pPr>
            <w:r>
              <w:rPr>
                <w:rStyle w:val="14"/>
                <w:rFonts w:hint="eastAsia" w:asciiTheme="minorEastAsia" w:hAnsiTheme="minorEastAsia" w:eastAsiaTheme="minorEastAsia" w:cstheme="minorEastAsia"/>
                <w:b/>
                <w:bCs/>
              </w:rPr>
              <w:t>行为意向比例</w:t>
            </w:r>
            <w:r>
              <w:rPr>
                <w:rFonts w:hint="eastAsia" w:asciiTheme="minorEastAsia" w:hAnsiTheme="minorEastAsia" w:cstheme="minorEastAsia"/>
                <w:b/>
                <w:lang w:val="en-US" w:eastAsia="zh-CN"/>
              </w:rPr>
              <w:t>%</w:t>
            </w:r>
          </w:p>
        </w:tc>
      </w:tr>
      <w:tr w14:paraId="13F2697D">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230" w:type="dxa"/>
            <w:tcBorders>
              <w:top w:val="single" w:color="auto" w:sz="4" w:space="0"/>
              <w:left w:val="nil"/>
              <w:bottom w:val="nil"/>
              <w:right w:val="nil"/>
            </w:tcBorders>
            <w:shd w:val="clear" w:color="auto" w:fill="auto"/>
            <w:vAlign w:val="center"/>
          </w:tcPr>
          <w:p w14:paraId="72240367">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价值传播</w:t>
            </w:r>
          </w:p>
        </w:tc>
        <w:tc>
          <w:tcPr>
            <w:tcW w:w="1099" w:type="dxa"/>
            <w:tcBorders>
              <w:top w:val="single" w:color="auto" w:sz="4" w:space="0"/>
              <w:left w:val="nil"/>
              <w:bottom w:val="nil"/>
              <w:right w:val="nil"/>
            </w:tcBorders>
            <w:shd w:val="clear" w:color="auto" w:fill="auto"/>
            <w:vAlign w:val="center"/>
          </w:tcPr>
          <w:p w14:paraId="57A19618">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2</w:t>
            </w:r>
          </w:p>
        </w:tc>
        <w:tc>
          <w:tcPr>
            <w:tcW w:w="1099" w:type="dxa"/>
            <w:tcBorders>
              <w:top w:val="single" w:color="auto" w:sz="4" w:space="0"/>
              <w:left w:val="nil"/>
              <w:bottom w:val="nil"/>
              <w:right w:val="nil"/>
            </w:tcBorders>
            <w:shd w:val="clear" w:color="auto" w:fill="auto"/>
            <w:vAlign w:val="center"/>
          </w:tcPr>
          <w:p w14:paraId="6ADD47DF">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2550</w:t>
            </w:r>
          </w:p>
        </w:tc>
        <w:tc>
          <w:tcPr>
            <w:tcW w:w="1501" w:type="dxa"/>
            <w:tcBorders>
              <w:top w:val="single" w:color="auto" w:sz="4" w:space="0"/>
              <w:left w:val="nil"/>
              <w:bottom w:val="nil"/>
              <w:right w:val="nil"/>
            </w:tcBorders>
            <w:shd w:val="clear" w:color="auto" w:fill="auto"/>
            <w:vAlign w:val="center"/>
          </w:tcPr>
          <w:p w14:paraId="7D24BCFA">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24.6</w:t>
            </w:r>
          </w:p>
        </w:tc>
        <w:tc>
          <w:tcPr>
            <w:tcW w:w="1768" w:type="dxa"/>
            <w:tcBorders>
              <w:top w:val="single" w:color="auto" w:sz="4" w:space="0"/>
              <w:left w:val="nil"/>
              <w:bottom w:val="nil"/>
              <w:right w:val="nil"/>
            </w:tcBorders>
            <w:shd w:val="clear" w:color="auto" w:fill="auto"/>
            <w:vAlign w:val="center"/>
          </w:tcPr>
          <w:p w14:paraId="0B793F97">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1.0</w:t>
            </w:r>
          </w:p>
        </w:tc>
        <w:tc>
          <w:tcPr>
            <w:tcW w:w="1768" w:type="dxa"/>
            <w:tcBorders>
              <w:top w:val="single" w:color="auto" w:sz="4" w:space="0"/>
              <w:left w:val="nil"/>
              <w:bottom w:val="nil"/>
              <w:right w:val="nil"/>
            </w:tcBorders>
            <w:shd w:val="clear" w:color="auto" w:fill="auto"/>
            <w:vAlign w:val="center"/>
          </w:tcPr>
          <w:p w14:paraId="767F716D">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2.0</w:t>
            </w:r>
          </w:p>
        </w:tc>
      </w:tr>
      <w:tr w14:paraId="6677A9E5">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230" w:type="dxa"/>
            <w:tcBorders>
              <w:top w:val="nil"/>
              <w:left w:val="nil"/>
              <w:bottom w:val="nil"/>
              <w:right w:val="nil"/>
            </w:tcBorders>
            <w:shd w:val="clear" w:color="auto" w:fill="auto"/>
            <w:vAlign w:val="center"/>
          </w:tcPr>
          <w:p w14:paraId="0F985AD7">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深度传播</w:t>
            </w:r>
          </w:p>
        </w:tc>
        <w:tc>
          <w:tcPr>
            <w:tcW w:w="1099" w:type="dxa"/>
            <w:tcBorders>
              <w:top w:val="nil"/>
              <w:left w:val="nil"/>
              <w:bottom w:val="nil"/>
              <w:right w:val="nil"/>
            </w:tcBorders>
            <w:shd w:val="clear" w:color="auto" w:fill="auto"/>
            <w:vAlign w:val="center"/>
          </w:tcPr>
          <w:p w14:paraId="06C9B16A">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2</w:t>
            </w:r>
          </w:p>
        </w:tc>
        <w:tc>
          <w:tcPr>
            <w:tcW w:w="1099" w:type="dxa"/>
            <w:tcBorders>
              <w:top w:val="nil"/>
              <w:left w:val="nil"/>
              <w:bottom w:val="nil"/>
              <w:right w:val="nil"/>
            </w:tcBorders>
            <w:shd w:val="clear" w:color="auto" w:fill="auto"/>
            <w:vAlign w:val="center"/>
          </w:tcPr>
          <w:p w14:paraId="07304AEA">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5543</w:t>
            </w:r>
          </w:p>
        </w:tc>
        <w:tc>
          <w:tcPr>
            <w:tcW w:w="1501" w:type="dxa"/>
            <w:tcBorders>
              <w:top w:val="nil"/>
              <w:left w:val="nil"/>
              <w:bottom w:val="nil"/>
              <w:right w:val="nil"/>
            </w:tcBorders>
            <w:shd w:val="clear" w:color="auto" w:fill="auto"/>
            <w:vAlign w:val="center"/>
          </w:tcPr>
          <w:p w14:paraId="5C57BDAD">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28.1</w:t>
            </w:r>
          </w:p>
        </w:tc>
        <w:tc>
          <w:tcPr>
            <w:tcW w:w="1768" w:type="dxa"/>
            <w:tcBorders>
              <w:top w:val="nil"/>
              <w:left w:val="nil"/>
              <w:bottom w:val="nil"/>
              <w:right w:val="nil"/>
            </w:tcBorders>
            <w:shd w:val="clear" w:color="auto" w:fill="auto"/>
            <w:vAlign w:val="center"/>
          </w:tcPr>
          <w:p w14:paraId="69070C29">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1.5</w:t>
            </w:r>
          </w:p>
        </w:tc>
        <w:tc>
          <w:tcPr>
            <w:tcW w:w="1768" w:type="dxa"/>
            <w:tcBorders>
              <w:top w:val="nil"/>
              <w:left w:val="nil"/>
              <w:bottom w:val="nil"/>
              <w:right w:val="nil"/>
            </w:tcBorders>
            <w:shd w:val="clear" w:color="auto" w:fill="auto"/>
            <w:vAlign w:val="center"/>
          </w:tcPr>
          <w:p w14:paraId="13012390">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8.0</w:t>
            </w:r>
          </w:p>
        </w:tc>
      </w:tr>
      <w:tr w14:paraId="5F0BDF38">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230" w:type="dxa"/>
            <w:tcBorders>
              <w:top w:val="nil"/>
              <w:left w:val="nil"/>
              <w:bottom w:val="single" w:color="auto" w:sz="12" w:space="0"/>
              <w:right w:val="nil"/>
            </w:tcBorders>
            <w:shd w:val="clear" w:color="auto" w:fill="auto"/>
            <w:vAlign w:val="center"/>
          </w:tcPr>
          <w:p w14:paraId="15D3442B">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体验传播</w:t>
            </w:r>
          </w:p>
        </w:tc>
        <w:tc>
          <w:tcPr>
            <w:tcW w:w="1099" w:type="dxa"/>
            <w:tcBorders>
              <w:top w:val="nil"/>
              <w:left w:val="nil"/>
              <w:bottom w:val="single" w:color="auto" w:sz="12" w:space="0"/>
              <w:right w:val="nil"/>
            </w:tcBorders>
            <w:shd w:val="clear" w:color="auto" w:fill="auto"/>
            <w:vAlign w:val="center"/>
          </w:tcPr>
          <w:p w14:paraId="14E49A92">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2</w:t>
            </w:r>
          </w:p>
        </w:tc>
        <w:tc>
          <w:tcPr>
            <w:tcW w:w="1099" w:type="dxa"/>
            <w:tcBorders>
              <w:top w:val="nil"/>
              <w:left w:val="nil"/>
              <w:bottom w:val="single" w:color="auto" w:sz="12" w:space="0"/>
              <w:right w:val="nil"/>
            </w:tcBorders>
            <w:shd w:val="clear" w:color="auto" w:fill="auto"/>
            <w:vAlign w:val="center"/>
          </w:tcPr>
          <w:p w14:paraId="1AD96304">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806</w:t>
            </w:r>
          </w:p>
        </w:tc>
        <w:tc>
          <w:tcPr>
            <w:tcW w:w="1501" w:type="dxa"/>
            <w:tcBorders>
              <w:top w:val="nil"/>
              <w:left w:val="nil"/>
              <w:bottom w:val="single" w:color="auto" w:sz="12" w:space="0"/>
              <w:right w:val="nil"/>
            </w:tcBorders>
            <w:shd w:val="clear" w:color="auto" w:fill="auto"/>
            <w:vAlign w:val="center"/>
          </w:tcPr>
          <w:p w14:paraId="64EA0095">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24.0</w:t>
            </w:r>
          </w:p>
        </w:tc>
        <w:tc>
          <w:tcPr>
            <w:tcW w:w="1768" w:type="dxa"/>
            <w:tcBorders>
              <w:top w:val="nil"/>
              <w:left w:val="nil"/>
              <w:bottom w:val="single" w:color="auto" w:sz="12" w:space="0"/>
              <w:right w:val="nil"/>
            </w:tcBorders>
            <w:shd w:val="clear" w:color="auto" w:fill="auto"/>
            <w:vAlign w:val="center"/>
          </w:tcPr>
          <w:p w14:paraId="467A39D7">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0.3</w:t>
            </w:r>
          </w:p>
        </w:tc>
        <w:tc>
          <w:tcPr>
            <w:tcW w:w="1768" w:type="dxa"/>
            <w:tcBorders>
              <w:top w:val="nil"/>
              <w:left w:val="nil"/>
              <w:bottom w:val="single" w:color="auto" w:sz="12" w:space="0"/>
              <w:right w:val="nil"/>
            </w:tcBorders>
            <w:shd w:val="clear" w:color="auto" w:fill="auto"/>
            <w:vAlign w:val="center"/>
          </w:tcPr>
          <w:p w14:paraId="7C2C8BD0">
            <w:pPr>
              <w:pStyle w:val="10"/>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1.6</w:t>
            </w:r>
          </w:p>
        </w:tc>
      </w:tr>
    </w:tbl>
    <w:p w14:paraId="0C786C51">
      <w:pPr>
        <w:pStyle w:val="5"/>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表 </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SEQ 表 \* ARABIC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lang w:val="en-US" w:eastAsia="zh-CN"/>
        </w:rPr>
        <w:t xml:space="preserve"> </w:t>
      </w:r>
      <w:r>
        <w:rPr>
          <w:rFonts w:hint="eastAsia" w:asciiTheme="minorEastAsia" w:hAnsiTheme="minorEastAsia" w:eastAsiaTheme="minorEastAsia" w:cstheme="minorEastAsia"/>
        </w:rPr>
        <w:t>传播深度统计分析</w:t>
      </w:r>
    </w:p>
    <w:p w14:paraId="710A4FB7">
      <w:pPr>
        <w:pStyle w:val="10"/>
        <w:keepNext w:val="0"/>
        <w:keepLines w:val="0"/>
        <w:widowControl/>
        <w:suppressLineNumbers w:val="0"/>
        <w:jc w:val="left"/>
        <w:rPr>
          <w:rFonts w:hint="eastAsia" w:eastAsiaTheme="minorEastAsia"/>
          <w:lang w:eastAsia="zh-CN"/>
        </w:rPr>
      </w:pPr>
      <w:r>
        <w:rPr>
          <w:rFonts w:hint="eastAsia" w:eastAsiaTheme="minorEastAsia"/>
          <w:lang w:eastAsia="zh-CN"/>
        </w:rPr>
        <w:drawing>
          <wp:inline distT="0" distB="0" distL="114300" distR="114300">
            <wp:extent cx="5266690" cy="2922905"/>
            <wp:effectExtent l="0" t="0" r="0" b="0"/>
            <wp:docPr id="31" name="图片 31" descr="图6_传播深度层次效果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图6_传播深度层次效果对比"/>
                    <pic:cNvPicPr>
                      <a:picLocks noChangeAspect="1"/>
                    </pic:cNvPicPr>
                  </pic:nvPicPr>
                  <pic:blipFill>
                    <a:blip r:embed="rId14"/>
                    <a:stretch>
                      <a:fillRect/>
                    </a:stretch>
                  </pic:blipFill>
                  <pic:spPr>
                    <a:xfrm>
                      <a:off x="0" y="0"/>
                      <a:ext cx="5266690" cy="2922905"/>
                    </a:xfrm>
                    <a:prstGeom prst="rect">
                      <a:avLst/>
                    </a:prstGeom>
                  </pic:spPr>
                </pic:pic>
              </a:graphicData>
            </a:graphic>
          </wp:inline>
        </w:drawing>
      </w:r>
    </w:p>
    <w:p w14:paraId="6B2730B8">
      <w:pPr>
        <w:pStyle w:val="5"/>
        <w:keepNext w:val="0"/>
        <w:keepLines w:val="0"/>
        <w:widowControl/>
        <w:suppressLineNumbers w:val="0"/>
        <w:jc w:val="center"/>
        <w:rPr>
          <w:rFonts w:hint="default" w:eastAsia="黑体"/>
          <w:lang w:val="en-US" w:eastAsia="zh-CN"/>
        </w:rPr>
      </w:pPr>
      <w:r>
        <w:t xml:space="preserve">图 </w:t>
      </w:r>
      <w:r>
        <w:fldChar w:fldCharType="begin"/>
      </w:r>
      <w:r>
        <w:instrText xml:space="preserve"> SEQ 图 \* ARABIC </w:instrText>
      </w:r>
      <w:r>
        <w:fldChar w:fldCharType="separate"/>
      </w:r>
      <w:r>
        <w:t>8</w:t>
      </w:r>
      <w:r>
        <w:fldChar w:fldCharType="end"/>
      </w:r>
      <w:r>
        <w:rPr>
          <w:rFonts w:hint="eastAsia"/>
          <w:lang w:val="en-US" w:eastAsia="zh-CN"/>
        </w:rPr>
        <w:t xml:space="preserve"> 传播深度层次效果对比</w:t>
      </w:r>
    </w:p>
    <w:p w14:paraId="354A6919">
      <w:pPr>
        <w:pStyle w:val="2"/>
        <w:keepNext w:val="0"/>
        <w:keepLines w:val="0"/>
        <w:widowControl/>
        <w:numPr>
          <w:ilvl w:val="0"/>
          <w:numId w:val="1"/>
        </w:numPr>
        <w:suppressLineNumbers w:val="0"/>
        <w:pBdr>
          <w:left w:val="none" w:color="auto" w:sz="0" w:space="0"/>
        </w:pBdr>
        <w:ind w:left="0" w:leftChars="0" w:firstLine="0" w:firstLineChars="0"/>
        <w:jc w:val="left"/>
      </w:pPr>
      <w:bookmarkStart w:id="16" w:name="_Toc2238"/>
      <w:r>
        <w:t>讨论：传播效果差异的原因与优化路径</w:t>
      </w:r>
      <w:bookmarkEnd w:id="16"/>
    </w:p>
    <w:p w14:paraId="34148929">
      <w:pPr>
        <w:pStyle w:val="3"/>
        <w:keepNext w:val="0"/>
        <w:keepLines w:val="0"/>
        <w:widowControl/>
        <w:numPr>
          <w:ilvl w:val="0"/>
          <w:numId w:val="0"/>
        </w:numPr>
        <w:suppressLineNumbers w:val="0"/>
        <w:pBdr>
          <w:left w:val="none" w:color="auto" w:sz="0" w:space="0"/>
        </w:pBdr>
        <w:ind w:leftChars="0"/>
        <w:jc w:val="left"/>
      </w:pPr>
      <w:bookmarkStart w:id="17" w:name="_Toc4258"/>
      <w:r>
        <w:t>5.1 传播效果差异的核心原因</w:t>
      </w:r>
      <w:bookmarkEnd w:id="17"/>
    </w:p>
    <w:p w14:paraId="7661B0D6">
      <w:pPr>
        <w:pStyle w:val="10"/>
        <w:keepNext w:val="0"/>
        <w:keepLines w:val="0"/>
        <w:widowControl/>
        <w:suppressLineNumbers w:val="0"/>
        <w:spacing w:before="0" w:beforeAutospacing="1" w:after="0" w:afterAutospacing="1"/>
        <w:ind w:left="0" w:right="0"/>
        <w:jc w:val="left"/>
        <w:rPr>
          <w:rFonts w:hint="eastAsia"/>
        </w:rPr>
      </w:pPr>
      <w:r>
        <w:rPr>
          <w:rFonts w:hint="eastAsia"/>
        </w:rPr>
        <w:t>结合上述发现，6类主题的传播效果差异可从“内容属性”“用户需求”“体验链路”三个角度解释：</w:t>
      </w:r>
    </w:p>
    <w:p w14:paraId="28004AAE">
      <w:pPr>
        <w:pStyle w:val="10"/>
        <w:keepNext w:val="0"/>
        <w:keepLines w:val="0"/>
        <w:widowControl/>
        <w:numPr>
          <w:ilvl w:val="0"/>
          <w:numId w:val="7"/>
        </w:numPr>
        <w:suppressLineNumbers w:val="0"/>
        <w:spacing w:before="0" w:beforeAutospacing="1" w:after="0" w:afterAutospacing="1"/>
        <w:ind w:left="425" w:leftChars="0" w:right="0" w:hanging="425" w:firstLineChars="0"/>
        <w:jc w:val="left"/>
        <w:rPr>
          <w:rFonts w:hint="eastAsia"/>
        </w:rPr>
      </w:pPr>
      <w:r>
        <w:rPr>
          <w:rFonts w:hint="eastAsia"/>
        </w:rPr>
        <w:t>内容属性：“文旅融合体验”的高情感反馈，源于“线上游戏场景+线下文化地标”的“双重熟悉感”——用户既对游戏场景有认知，又对敦煌、凉州等地标有文化认同，这种“双向关联”放大了情感共鸣；而“技术创新展示”的低反馈，则因“技术解读过于专业”，用户难以将“动作捕捉技术”与“文化价值”直接关联，导致情感代入困难。</w:t>
      </w:r>
    </w:p>
    <w:p w14:paraId="5BC3798B">
      <w:pPr>
        <w:pStyle w:val="10"/>
        <w:keepNext w:val="0"/>
        <w:keepLines w:val="0"/>
        <w:widowControl/>
        <w:numPr>
          <w:ilvl w:val="0"/>
          <w:numId w:val="7"/>
        </w:numPr>
        <w:suppressLineNumbers w:val="0"/>
        <w:spacing w:before="0" w:beforeAutospacing="1" w:after="0" w:afterAutospacing="1"/>
        <w:ind w:left="425" w:leftChars="0" w:right="0" w:hanging="425" w:firstLineChars="0"/>
        <w:jc w:val="left"/>
        <w:rPr>
          <w:rFonts w:hint="eastAsia"/>
        </w:rPr>
      </w:pPr>
      <w:r>
        <w:rPr>
          <w:rFonts w:hint="eastAsia"/>
        </w:rPr>
        <w:t>用户需求：“深度叙事解读”与“核心文化传承”的高关注度，反映用户对“文化叙事”的需求远高于“技术”或“社会议题”——游戏用户更希望通过“故事”而非“理论”接触文化，这与“Z世代”“情感驱动型”的信息接收习惯一致。</w:t>
      </w:r>
    </w:p>
    <w:p w14:paraId="74241787">
      <w:pPr>
        <w:pStyle w:val="10"/>
        <w:keepNext w:val="0"/>
        <w:keepLines w:val="0"/>
        <w:widowControl/>
        <w:numPr>
          <w:ilvl w:val="0"/>
          <w:numId w:val="7"/>
        </w:numPr>
        <w:suppressLineNumbers w:val="0"/>
        <w:spacing w:before="0" w:beforeAutospacing="1" w:after="0" w:afterAutospacing="1"/>
        <w:ind w:left="425" w:leftChars="0" w:right="0" w:hanging="425" w:firstLineChars="0"/>
        <w:jc w:val="left"/>
      </w:pPr>
      <w:r>
        <w:rPr>
          <w:rFonts w:hint="eastAsia"/>
        </w:rPr>
        <w:t>体验链路：“核心文化传承”的高行为转化，源于“文化呈现-情感共鸣-行动意愿”的完整链路——例如，用户看到游戏中还原的敦煌壁画（文化呈现），产生“想了解真实壁画”的兴趣（情感共鸣），进而产生“去敦煌旅游”的意愿（行为转化）；而“社会议题探讨”因“文化关联弱”，难以形成完整链路，转化效果自然较差。</w:t>
      </w:r>
    </w:p>
    <w:p w14:paraId="1164563B">
      <w:pPr>
        <w:pStyle w:val="3"/>
        <w:keepNext w:val="0"/>
        <w:keepLines w:val="0"/>
        <w:widowControl/>
        <w:numPr>
          <w:ilvl w:val="0"/>
          <w:numId w:val="0"/>
        </w:numPr>
        <w:suppressLineNumbers w:val="0"/>
        <w:pBdr>
          <w:left w:val="none" w:color="auto" w:sz="0" w:space="0"/>
        </w:pBdr>
        <w:ind w:leftChars="0"/>
        <w:jc w:val="left"/>
      </w:pPr>
      <w:bookmarkStart w:id="18" w:name="_Toc848"/>
      <w:r>
        <w:t>5.2 游戏文化传播的优化路径</w:t>
      </w:r>
      <w:bookmarkEnd w:id="18"/>
    </w:p>
    <w:p w14:paraId="25E81D2C">
      <w:pPr>
        <w:pStyle w:val="10"/>
        <w:keepNext w:val="0"/>
        <w:keepLines w:val="0"/>
        <w:widowControl/>
        <w:suppressLineNumbers w:val="0"/>
        <w:spacing w:before="0" w:beforeAutospacing="1" w:after="0" w:afterAutospacing="1"/>
        <w:ind w:left="0" w:right="0"/>
        <w:jc w:val="left"/>
        <w:rPr>
          <w:rFonts w:hint="eastAsia"/>
        </w:rPr>
      </w:pPr>
      <w:r>
        <w:rPr>
          <w:rFonts w:hint="eastAsia"/>
        </w:rPr>
        <w:t>基于研究发现与原因分析，本研究从“主题选择”“内容设计”“样本平衡”三个方面提出优化路径：</w:t>
      </w:r>
    </w:p>
    <w:p w14:paraId="0D609540">
      <w:pPr>
        <w:pStyle w:val="10"/>
        <w:keepNext w:val="0"/>
        <w:keepLines w:val="0"/>
        <w:widowControl/>
        <w:numPr>
          <w:ilvl w:val="1"/>
          <w:numId w:val="8"/>
        </w:numPr>
        <w:suppressLineNumbers w:val="0"/>
        <w:spacing w:before="0" w:beforeAutospacing="1" w:after="0" w:afterAutospacing="1"/>
        <w:ind w:left="0" w:leftChars="0" w:right="0" w:firstLine="400" w:firstLineChars="0"/>
        <w:jc w:val="left"/>
        <w:rPr>
          <w:rFonts w:hint="eastAsia"/>
        </w:rPr>
      </w:pPr>
      <w:r>
        <w:rPr>
          <w:rFonts w:hint="eastAsia"/>
        </w:rPr>
        <w:t>主题选择：聚焦“高效果+高潜力”主题，双轨并行</w:t>
      </w:r>
    </w:p>
    <w:p w14:paraId="21311F0D">
      <w:pPr>
        <w:pStyle w:val="10"/>
        <w:keepNext w:val="0"/>
        <w:keepLines w:val="0"/>
        <w:widowControl/>
        <w:numPr>
          <w:ilvl w:val="2"/>
          <w:numId w:val="8"/>
        </w:numPr>
        <w:suppressLineNumbers w:val="0"/>
        <w:spacing w:before="0" w:beforeAutospacing="1" w:after="0" w:afterAutospacing="1"/>
        <w:ind w:left="0" w:leftChars="0" w:right="0" w:firstLine="402" w:firstLineChars="0"/>
        <w:jc w:val="left"/>
        <w:rPr>
          <w:rFonts w:hint="eastAsia"/>
        </w:rPr>
      </w:pPr>
      <w:r>
        <w:rPr>
          <w:rFonts w:hint="eastAsia"/>
        </w:rPr>
        <w:t>强化“核心文化传承”与“深度叙事解读”的优势：前者以“文化符号直接呈现”推动行为转化，后者以“剧情叙事”激发深度情感，可作为传播的“核心主题”；</w:t>
      </w:r>
    </w:p>
    <w:p w14:paraId="16E715EC">
      <w:pPr>
        <w:pStyle w:val="10"/>
        <w:keepNext w:val="0"/>
        <w:keepLines w:val="0"/>
        <w:widowControl/>
        <w:numPr>
          <w:ilvl w:val="2"/>
          <w:numId w:val="8"/>
        </w:numPr>
        <w:suppressLineNumbers w:val="0"/>
        <w:spacing w:before="0" w:beforeAutospacing="1" w:after="0" w:afterAutospacing="1"/>
        <w:ind w:left="0" w:leftChars="0" w:right="0" w:firstLine="402" w:firstLineChars="0"/>
        <w:jc w:val="left"/>
        <w:rPr>
          <w:rFonts w:hint="eastAsia"/>
        </w:rPr>
      </w:pPr>
      <w:r>
        <w:rPr>
          <w:rFonts w:hint="eastAsia"/>
        </w:rPr>
        <w:t>挖掘“文旅融合体验”的潜力：尽管当前样本量小，但37.9%的加权正面率证明其“单位效果”最优，可通过“增加文旅联动视频数量”“联动热门旅游博主”扩大样本规模，提升整体传播效果。</w:t>
      </w:r>
    </w:p>
    <w:p w14:paraId="36B0F81C">
      <w:pPr>
        <w:pStyle w:val="10"/>
        <w:keepNext w:val="0"/>
        <w:keepLines w:val="0"/>
        <w:widowControl/>
        <w:numPr>
          <w:ilvl w:val="1"/>
          <w:numId w:val="8"/>
        </w:numPr>
        <w:suppressLineNumbers w:val="0"/>
        <w:spacing w:before="0" w:beforeAutospacing="1" w:after="0" w:afterAutospacing="1"/>
        <w:ind w:left="0" w:leftChars="0" w:right="0" w:firstLine="400" w:firstLineChars="0"/>
        <w:jc w:val="left"/>
        <w:rPr>
          <w:rFonts w:hint="eastAsia"/>
        </w:rPr>
      </w:pPr>
      <w:r>
        <w:rPr>
          <w:rFonts w:hint="eastAsia"/>
        </w:rPr>
        <w:t>内容设计：补全“情感-行为”转化链路，解决两大痛点</w:t>
      </w:r>
    </w:p>
    <w:p w14:paraId="11EB161D">
      <w:pPr>
        <w:pStyle w:val="10"/>
        <w:keepNext w:val="0"/>
        <w:keepLines w:val="0"/>
        <w:widowControl/>
        <w:numPr>
          <w:ilvl w:val="2"/>
          <w:numId w:val="8"/>
        </w:numPr>
        <w:suppressLineNumbers w:val="0"/>
        <w:spacing w:before="0" w:beforeAutospacing="1" w:after="0" w:afterAutospacing="1"/>
        <w:ind w:left="0" w:leftChars="0" w:right="0" w:firstLine="402" w:firstLineChars="0"/>
        <w:jc w:val="left"/>
        <w:rPr>
          <w:rFonts w:hint="eastAsia"/>
        </w:rPr>
      </w:pPr>
      <w:r>
        <w:rPr>
          <w:rFonts w:hint="eastAsia"/>
        </w:rPr>
        <w:t>提升深度情感比例：在“核心文化传承”内容中加入“文化背后的故事”（如敦煌壁画的创作背景），让用户从“看到符号”升级为“理解精神”，激发文化自豪感；</w:t>
      </w:r>
    </w:p>
    <w:p w14:paraId="46F103C2">
      <w:pPr>
        <w:pStyle w:val="10"/>
        <w:keepNext w:val="0"/>
        <w:keepLines w:val="0"/>
        <w:widowControl/>
        <w:numPr>
          <w:ilvl w:val="2"/>
          <w:numId w:val="8"/>
        </w:numPr>
        <w:suppressLineNumbers w:val="0"/>
        <w:spacing w:before="0" w:beforeAutospacing="1" w:after="0" w:afterAutospacing="1"/>
        <w:ind w:left="0" w:leftChars="0" w:right="0" w:firstLine="402" w:firstLineChars="0"/>
        <w:jc w:val="left"/>
        <w:rPr>
          <w:rFonts w:hint="eastAsia"/>
        </w:rPr>
      </w:pPr>
      <w:r>
        <w:rPr>
          <w:rFonts w:hint="eastAsia"/>
        </w:rPr>
        <w:t>激励二次创作：在“深度叙事解读”视频中加入“创作素材包”（如游戏场景截图、原声音乐），降低创作门槛，同时发起“#燕云文化创作大赛”，通过奖励机制提升二次创作意愿。</w:t>
      </w:r>
    </w:p>
    <w:p w14:paraId="562F4E42">
      <w:pPr>
        <w:pStyle w:val="10"/>
        <w:keepNext w:val="0"/>
        <w:keepLines w:val="0"/>
        <w:widowControl/>
        <w:numPr>
          <w:ilvl w:val="1"/>
          <w:numId w:val="8"/>
        </w:numPr>
        <w:suppressLineNumbers w:val="0"/>
        <w:spacing w:before="0" w:beforeAutospacing="1" w:after="0" w:afterAutospacing="1"/>
        <w:ind w:left="0" w:leftChars="0" w:right="0" w:firstLine="400" w:firstLineChars="0"/>
        <w:jc w:val="left"/>
        <w:rPr>
          <w:rFonts w:hint="eastAsia"/>
        </w:rPr>
      </w:pPr>
      <w:r>
        <w:rPr>
          <w:rFonts w:hint="eastAsia"/>
        </w:rPr>
        <w:t>样本平衡：优化“低关注主题”的内容呈现</w:t>
      </w:r>
    </w:p>
    <w:p w14:paraId="1AC38262">
      <w:pPr>
        <w:pStyle w:val="10"/>
        <w:keepNext w:val="0"/>
        <w:keepLines w:val="0"/>
        <w:widowControl/>
        <w:numPr>
          <w:ilvl w:val="2"/>
          <w:numId w:val="8"/>
        </w:numPr>
        <w:suppressLineNumbers w:val="0"/>
        <w:spacing w:before="0" w:beforeAutospacing="1" w:after="0" w:afterAutospacing="1"/>
        <w:ind w:left="0" w:leftChars="0" w:right="0" w:firstLine="402" w:firstLineChars="0"/>
        <w:jc w:val="left"/>
        <w:rPr>
          <w:rFonts w:hint="eastAsia"/>
        </w:rPr>
      </w:pPr>
      <w:r>
        <w:rPr>
          <w:rFonts w:hint="eastAsia"/>
        </w:rPr>
        <w:t>对“技术创新展示”：将“技术解读”转化为“技术+文化”的叙事（如“动作捕捉如何还原唐代乐舞的姿态”），让用户理解技术的“文化价值”而非单纯的“技术参数”；</w:t>
      </w:r>
    </w:p>
    <w:p w14:paraId="630F8F86">
      <w:pPr>
        <w:pStyle w:val="10"/>
        <w:keepNext w:val="0"/>
        <w:keepLines w:val="0"/>
        <w:widowControl/>
        <w:numPr>
          <w:ilvl w:val="2"/>
          <w:numId w:val="8"/>
        </w:numPr>
        <w:suppressLineNumbers w:val="0"/>
        <w:spacing w:before="0" w:beforeAutospacing="1" w:after="0" w:afterAutospacing="1"/>
        <w:ind w:left="0" w:leftChars="0" w:right="0" w:firstLine="402" w:firstLineChars="0"/>
        <w:jc w:val="left"/>
      </w:pPr>
      <w:r>
        <w:rPr>
          <w:rFonts w:hint="eastAsia"/>
        </w:rPr>
        <w:t>对“社会议题探讨”：结合游戏内容设计议题（如“游戏如何助力非遗传承”），强化“文化关联”，避免议题与文化传播脱节。</w:t>
      </w:r>
    </w:p>
    <w:p w14:paraId="5B3281CE">
      <w:pPr>
        <w:pStyle w:val="2"/>
        <w:keepNext w:val="0"/>
        <w:keepLines w:val="0"/>
        <w:widowControl/>
        <w:numPr>
          <w:ilvl w:val="0"/>
          <w:numId w:val="1"/>
        </w:numPr>
        <w:suppressLineNumbers w:val="0"/>
        <w:pBdr>
          <w:left w:val="none" w:color="auto" w:sz="0" w:space="0"/>
        </w:pBdr>
        <w:ind w:left="0" w:leftChars="0" w:firstLine="0" w:firstLineChars="0"/>
        <w:jc w:val="left"/>
      </w:pPr>
      <w:bookmarkStart w:id="19" w:name="_Toc7015"/>
      <w:r>
        <w:t>结论与局限</w:t>
      </w:r>
      <w:bookmarkEnd w:id="19"/>
    </w:p>
    <w:p w14:paraId="7DD60C56">
      <w:pPr>
        <w:pStyle w:val="3"/>
        <w:keepNext w:val="0"/>
        <w:keepLines w:val="0"/>
        <w:widowControl/>
        <w:numPr>
          <w:ilvl w:val="0"/>
          <w:numId w:val="0"/>
        </w:numPr>
        <w:suppressLineNumbers w:val="0"/>
        <w:pBdr>
          <w:left w:val="none" w:color="auto" w:sz="0" w:space="0"/>
        </w:pBdr>
        <w:ind w:leftChars="0"/>
        <w:jc w:val="left"/>
      </w:pPr>
      <w:bookmarkStart w:id="20" w:name="_Toc5422"/>
      <w:r>
        <w:t>6.1 研究结论</w:t>
      </w:r>
      <w:bookmarkEnd w:id="20"/>
    </w:p>
    <w:p w14:paraId="08C0DC3D">
      <w:pPr>
        <w:pStyle w:val="10"/>
        <w:keepNext w:val="0"/>
        <w:keepLines w:val="0"/>
        <w:widowControl/>
        <w:suppressLineNumbers w:val="0"/>
        <w:spacing w:before="0" w:beforeAutospacing="1" w:after="0" w:afterAutospacing="1"/>
        <w:ind w:left="0" w:right="0"/>
        <w:jc w:val="left"/>
        <w:rPr>
          <w:rFonts w:hint="eastAsia"/>
        </w:rPr>
      </w:pPr>
      <w:r>
        <w:rPr>
          <w:rFonts w:hint="eastAsia"/>
        </w:rPr>
        <w:t>本研究以《燕云十六声》B站评论为数据基础，通过6类传播主题的效果对比，得出以下核心结论：</w:t>
      </w:r>
    </w:p>
    <w:p w14:paraId="0AD15CB4">
      <w:pPr>
        <w:pStyle w:val="10"/>
        <w:keepNext w:val="0"/>
        <w:keepLines w:val="0"/>
        <w:widowControl/>
        <w:numPr>
          <w:ilvl w:val="0"/>
          <w:numId w:val="9"/>
        </w:numPr>
        <w:suppressLineNumbers w:val="0"/>
        <w:spacing w:before="0" w:beforeAutospacing="1" w:after="0" w:afterAutospacing="1"/>
        <w:ind w:left="425" w:leftChars="0" w:right="0" w:hanging="425" w:firstLineChars="0"/>
        <w:jc w:val="left"/>
        <w:rPr>
          <w:rFonts w:hint="eastAsia"/>
        </w:rPr>
      </w:pPr>
      <w:r>
        <w:rPr>
          <w:rFonts w:hint="eastAsia"/>
        </w:rPr>
        <w:t>传播主题的“效果差异”显著：“文旅融合体验”情感效果最优（加权正面率37.9%），“深度叙事解读”深度情感最强（1.8%），“核心文化传承”行为转化最好（9.8%），不存在“全维度最优”的主题，需根据传播目标选择侧重；</w:t>
      </w:r>
    </w:p>
    <w:p w14:paraId="17ED1A3F">
      <w:pPr>
        <w:pStyle w:val="10"/>
        <w:keepNext w:val="0"/>
        <w:keepLines w:val="0"/>
        <w:widowControl/>
        <w:numPr>
          <w:ilvl w:val="0"/>
          <w:numId w:val="9"/>
        </w:numPr>
        <w:suppressLineNumbers w:val="0"/>
        <w:spacing w:before="0" w:beforeAutospacing="1" w:after="0" w:afterAutospacing="1"/>
        <w:ind w:left="425" w:leftChars="0" w:right="0" w:hanging="425" w:firstLineChars="0"/>
        <w:jc w:val="left"/>
        <w:rPr>
          <w:rFonts w:hint="eastAsia"/>
        </w:rPr>
      </w:pPr>
      <w:r>
        <w:rPr>
          <w:rFonts w:hint="eastAsia"/>
        </w:rPr>
        <w:t>传播主题的“关注度分布”不均：“深度叙事解读”与“核心文化传承”的评论数占比超60%，“文旅融合体验”仅0.7%，反映用户对“文化叙事类”内容的偏好远高于“线下联动”“技术解读”类；</w:t>
      </w:r>
    </w:p>
    <w:p w14:paraId="02B30247">
      <w:pPr>
        <w:pStyle w:val="10"/>
        <w:keepNext w:val="0"/>
        <w:keepLines w:val="0"/>
        <w:widowControl/>
        <w:numPr>
          <w:ilvl w:val="0"/>
          <w:numId w:val="9"/>
        </w:numPr>
        <w:suppressLineNumbers w:val="0"/>
        <w:spacing w:before="0" w:beforeAutospacing="1" w:after="0" w:afterAutospacing="1"/>
        <w:ind w:left="425" w:leftChars="0" w:right="0" w:hanging="425" w:firstLineChars="0"/>
        <w:jc w:val="left"/>
      </w:pPr>
      <w:r>
        <w:rPr>
          <w:rFonts w:hint="eastAsia"/>
        </w:rPr>
        <w:t>传播效果的“提升空间”集中：所有主题的深度情感比例均低于2%，二次创作意愿低于1%，“情感内化”与“创作激励”是未来优化的核心方向。</w:t>
      </w:r>
    </w:p>
    <w:p w14:paraId="216D1FFD">
      <w:pPr>
        <w:pStyle w:val="3"/>
        <w:keepNext w:val="0"/>
        <w:keepLines w:val="0"/>
        <w:widowControl/>
        <w:numPr>
          <w:ilvl w:val="0"/>
          <w:numId w:val="0"/>
        </w:numPr>
        <w:suppressLineNumbers w:val="0"/>
        <w:pBdr>
          <w:left w:val="none" w:color="auto" w:sz="0" w:space="0"/>
        </w:pBdr>
        <w:ind w:leftChars="0"/>
        <w:jc w:val="left"/>
      </w:pPr>
      <w:bookmarkStart w:id="21" w:name="_Toc27240"/>
      <w:r>
        <w:t>6.2 研究局限与未来方向</w:t>
      </w:r>
      <w:bookmarkEnd w:id="21"/>
    </w:p>
    <w:p w14:paraId="21EF3305">
      <w:pPr>
        <w:pStyle w:val="10"/>
        <w:keepNext w:val="0"/>
        <w:keepLines w:val="0"/>
        <w:widowControl/>
        <w:suppressLineNumbers w:val="0"/>
        <w:spacing w:before="0" w:beforeAutospacing="1" w:after="0" w:afterAutospacing="1"/>
        <w:ind w:left="0" w:right="0"/>
        <w:jc w:val="left"/>
        <w:rPr>
          <w:rFonts w:hint="eastAsia"/>
        </w:rPr>
      </w:pPr>
      <w:r>
        <w:rPr>
          <w:rFonts w:hint="eastAsia"/>
        </w:rPr>
        <w:t>本研究存在两点局限：一是数据仅来源于B站平台，未涵盖抖音、微博等其他传播渠道，结论的普适性有待验证；二是未纳入“用户特征”（如年龄、游戏时长）分析，无法判断不同群体对主题的反馈差异。</w:t>
      </w:r>
    </w:p>
    <w:p w14:paraId="6D28A427">
      <w:pPr>
        <w:pStyle w:val="10"/>
        <w:keepNext w:val="0"/>
        <w:keepLines w:val="0"/>
        <w:widowControl/>
        <w:suppressLineNumbers w:val="0"/>
        <w:spacing w:before="0" w:beforeAutospacing="1" w:after="0" w:afterAutospacing="1"/>
        <w:ind w:left="0" w:right="0"/>
        <w:jc w:val="left"/>
      </w:pPr>
      <w:r>
        <w:rPr>
          <w:rFonts w:hint="eastAsia"/>
        </w:rPr>
        <w:t>未来研究可从两方面展开：一是扩大数据来源，对比多平台的主题效果差异；二是结合用户问卷或访谈，分析“用户特征-主题偏好-传播效果”的关联，为游戏文化传播提供更精准的策略参考。</w:t>
      </w:r>
    </w:p>
    <w:p w14:paraId="00BE869E">
      <w:pPr>
        <w:pStyle w:val="2"/>
        <w:keepNext w:val="0"/>
        <w:keepLines w:val="0"/>
        <w:widowControl/>
        <w:numPr>
          <w:ilvl w:val="0"/>
          <w:numId w:val="0"/>
        </w:numPr>
        <w:suppressLineNumbers w:val="0"/>
        <w:pBdr>
          <w:left w:val="none" w:color="auto" w:sz="0" w:space="0"/>
        </w:pBdr>
        <w:ind w:leftChars="0"/>
        <w:jc w:val="left"/>
        <w:rPr>
          <w:rFonts w:hint="eastAsia" w:asciiTheme="minorEastAsia" w:hAnsiTheme="minorEastAsia" w:eastAsiaTheme="minorEastAsia" w:cstheme="minorEastAsia"/>
        </w:rPr>
      </w:pPr>
      <w:bookmarkStart w:id="22" w:name="_Toc18680"/>
      <w:r>
        <w:rPr>
          <w:rFonts w:hint="eastAsia" w:asciiTheme="minorEastAsia" w:hAnsiTheme="minorEastAsia" w:eastAsiaTheme="minorEastAsia" w:cstheme="minorEastAsia"/>
        </w:rPr>
        <w:t>参考文献</w:t>
      </w:r>
      <w:bookmarkEnd w:id="22"/>
    </w:p>
    <w:p w14:paraId="33F8B020">
      <w:pPr>
        <w:pStyle w:val="10"/>
        <w:keepNext w:val="0"/>
        <w:keepLines w:val="0"/>
        <w:widowControl/>
        <w:suppressLineNumbers w:val="0"/>
        <w:spacing w:before="0" w:beforeAutospacing="1" w:after="0" w:afterAutospacing="1"/>
        <w:ind w:left="0" w:righ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[1] 蒋翠清，郭轶博，刘尧. (2019). 基于中文社交媒体文本的领域情感词典构建方法研究 [J]. 数据分析与知识发现，(2), 98-107.</w:t>
      </w:r>
    </w:p>
    <w:p w14:paraId="17BFD787">
      <w:pPr>
        <w:pStyle w:val="10"/>
        <w:keepNext w:val="0"/>
        <w:keepLines w:val="0"/>
        <w:widowControl/>
        <w:suppressLineNumbers w:val="0"/>
        <w:spacing w:before="0" w:beforeAutospacing="1" w:after="0" w:afterAutospacing="1"/>
        <w:ind w:left="0" w:righ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[2] 李世钰。融合语义情感与关键词匹配的社交媒体用户社群划分研究 [J]. 未标注发表信息，引用时需补充发表年、期号及页码.</w:t>
      </w:r>
    </w:p>
    <w:p w14:paraId="213BF161">
      <w:pPr>
        <w:pStyle w:val="10"/>
        <w:keepNext w:val="0"/>
        <w:keepLines w:val="0"/>
        <w:widowControl/>
        <w:suppressLineNumbers w:val="0"/>
        <w:spacing w:before="0" w:beforeAutospacing="1" w:after="0" w:afterAutospacing="1"/>
        <w:ind w:left="0" w:righ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[3] 罗琦，吴乃迁，苏愉越，等. (2021). 投资者盈余乐观情绪与管理者迎合 —— 基于社交媒体情感分析的证据 [J]. 中国工业经济，(11), 135-154.</w:t>
      </w:r>
    </w:p>
    <w:p w14:paraId="42348426">
      <w:pPr>
        <w:pStyle w:val="10"/>
        <w:keepNext w:val="0"/>
        <w:keepLines w:val="0"/>
        <w:widowControl/>
        <w:suppressLineNumbers w:val="0"/>
        <w:spacing w:before="0" w:beforeAutospacing="1" w:after="0" w:afterAutospacing="1"/>
        <w:ind w:left="0" w:righ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[4] 周延风，张婷，陈少娜. (2018). 网红社交媒体传播及消费者情感倾向分析 —— 以网红品牌 “喜茶” 为例 [J]. 商业经济与管理，(4), 70-80.</w:t>
      </w:r>
    </w:p>
    <w:p w14:paraId="21DA4F81">
      <w:pPr>
        <w:pStyle w:val="10"/>
        <w:keepNext w:val="0"/>
        <w:keepLines w:val="0"/>
        <w:widowControl/>
        <w:suppressLineNumbers w:val="0"/>
        <w:spacing w:before="0" w:beforeAutospacing="1" w:after="0" w:afterAutospacing="1"/>
        <w:ind w:left="0" w:righ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[5] 姚加权，冯绪，王赞钧，等. (2021). 语调、情绪及市场影响：基于金融情绪词典 [J]. 管理科学学报，24 (5), 26-46.</w:t>
      </w:r>
    </w:p>
    <w:p w14:paraId="19CD724F">
      <w:pPr>
        <w:pStyle w:val="10"/>
        <w:keepNext w:val="0"/>
        <w:keepLines w:val="0"/>
        <w:widowControl/>
        <w:suppressLineNumbers w:val="0"/>
        <w:spacing w:before="0" w:beforeAutospacing="1" w:after="0" w:afterAutospacing="1"/>
        <w:ind w:left="0" w:righ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[6] 辛静。国际社交媒体平台中国文化跨文化传播的分析与反思--以YouTube李子柒的视频评论为例</w:t>
      </w:r>
      <w:r>
        <w:rPr>
          <w:rFonts w:hint="eastAsia" w:asciiTheme="minorEastAsia" w:hAnsiTheme="minorEastAsia" w:cstheme="minorEastAsia"/>
          <w:lang w:val="en-US" w:eastAsia="zh-CN"/>
        </w:rPr>
        <w:t>[J]</w:t>
      </w:r>
      <w:r>
        <w:rPr>
          <w:rFonts w:hint="eastAsia" w:asciiTheme="minorEastAsia" w:hAnsiTheme="minorEastAsia" w:eastAsiaTheme="minorEastAsia" w:cstheme="minorEastAsia"/>
        </w:rPr>
        <w:t>.</w:t>
      </w:r>
    </w:p>
    <w:p w14:paraId="4A715E3E">
      <w:pPr>
        <w:pStyle w:val="10"/>
        <w:keepNext w:val="0"/>
        <w:keepLines w:val="0"/>
        <w:widowControl/>
        <w:suppressLineNumbers w:val="0"/>
        <w:spacing w:before="0" w:beforeAutospacing="1" w:after="0" w:afterAutospacing="1"/>
        <w:ind w:left="0" w:righ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[7] 赖元薇. (2017). 全球品牌利用社交媒体内容营销提升品牌忠诚度的机制研究 [D]. 北京：对外经济贸易大学.</w:t>
      </w:r>
    </w:p>
    <w:p w14:paraId="225BED61">
      <w:pPr>
        <w:pStyle w:val="10"/>
        <w:keepNext w:val="0"/>
        <w:keepLines w:val="0"/>
        <w:widowControl/>
        <w:suppressLineNumbers w:val="0"/>
        <w:spacing w:before="0" w:beforeAutospacing="1" w:after="0" w:afterAutospacing="1"/>
        <w:ind w:left="0" w:righ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[8] 张融. (2019). 传统文化 IP 的传播策略研究 —— 以北京故宫博物院为例 [D]. 上海：华东师范大学，新闻与传播专业.</w:t>
      </w:r>
    </w:p>
    <w:p w14:paraId="33588ADC">
      <w:pPr>
        <w:pStyle w:val="10"/>
        <w:keepNext w:val="0"/>
        <w:keepLines w:val="0"/>
        <w:widowControl/>
        <w:suppressLineNumbers w:val="0"/>
        <w:spacing w:before="0" w:beforeAutospacing="1" w:after="0" w:afterAutospacing="1"/>
        <w:ind w:left="0" w:righ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[9] 范孟娟. 社交媒体用户互动机制及关系转化研究--以微信微博为中心[D]. 华中科技大学, 2017.</w:t>
      </w:r>
    </w:p>
    <w:p w14:paraId="2CE03690">
      <w:pPr>
        <w:pStyle w:val="10"/>
        <w:keepNext w:val="0"/>
        <w:keepLines w:val="0"/>
        <w:widowControl/>
        <w:suppressLineNumbers w:val="0"/>
        <w:spacing w:before="0" w:beforeAutospacing="1" w:after="0" w:afterAutospacing="1"/>
        <w:ind w:left="0" w:righ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[10] 任芳慧. 基于用户体验的手机游戏品牌传播策略研究--以《王者荣耀》为例[D]. 2019.</w:t>
      </w:r>
    </w:p>
    <w:p w14:paraId="395F2ED1">
      <w:pPr>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page"/>
      </w:r>
    </w:p>
    <w:p w14:paraId="0F9E180D">
      <w:pPr>
        <w:pStyle w:val="2"/>
        <w:bidi w:val="0"/>
        <w:rPr>
          <w:rFonts w:hint="eastAsia"/>
          <w:lang w:val="en-US" w:eastAsia="zh-CN"/>
        </w:rPr>
      </w:pPr>
      <w:r>
        <w:rPr>
          <w:rFonts w:hint="eastAsia"/>
          <w:lang w:val="en-US" w:eastAsia="zh-CN"/>
        </w:rPr>
        <w:t>感悟和建议</w:t>
      </w:r>
    </w:p>
    <w:p w14:paraId="21520A7C">
      <w:pPr>
        <w:ind w:firstLine="420" w:firstLineChars="0"/>
        <w:rPr>
          <w:rFonts w:hint="eastAsia"/>
          <w:lang w:val="en-US" w:eastAsia="zh-CN"/>
        </w:rPr>
      </w:pPr>
      <w:r>
        <w:rPr>
          <w:rFonts w:hint="eastAsia"/>
          <w:lang w:val="en-US" w:eastAsia="zh-CN"/>
        </w:rPr>
        <w:t>这门课给我最大的收获是鼓励我阅读了李飞飞自传，让我知道了伟大的科学家也是鲜活生动的人，也会有人生的低谷，但不乏再来的勇气，确实是让人受益匪浅；同时也促使我在自己感兴趣的领域做了这篇分析报告，哪怕还是比较简陋，但相比而言，已经比上个学期数据科学导论的结课作业进步了很多了。另外，这个游戏刚刚上线国际服，并在外网引起了热议，如果有机会，我想继续这部分的研究。</w:t>
      </w:r>
    </w:p>
    <w:p w14:paraId="2876B4CE">
      <w:pPr>
        <w:ind w:firstLine="420" w:firstLineChars="0"/>
        <w:rPr>
          <w:rFonts w:hint="eastAsia"/>
          <w:lang w:val="en-US" w:eastAsia="zh-CN"/>
        </w:rPr>
      </w:pPr>
      <w:r>
        <w:rPr>
          <w:rFonts w:hint="eastAsia"/>
          <w:lang w:val="en-US" w:eastAsia="zh-CN"/>
        </w:rPr>
        <w:t>如果说有一点不足的话，就是感觉课程理论化部分的内容不太能引起我的兴趣，但是这是我的不足，不是课程的不足，老师的授课氛围还是很幽默的。不管怎么说，这一方面我会努力改进的！</w:t>
      </w:r>
    </w:p>
    <w:p w14:paraId="0D0D9E7E">
      <w:pPr>
        <w:ind w:firstLine="420" w:firstLineChars="0"/>
        <w:rPr>
          <w:rFonts w:hint="eastAsia"/>
          <w:lang w:val="en-US" w:eastAsia="zh-CN"/>
        </w:rPr>
      </w:pPr>
    </w:p>
    <w:p w14:paraId="340F5CE8">
      <w:pPr>
        <w:ind w:firstLine="420" w:firstLineChars="0"/>
        <w:jc w:val="right"/>
        <w:rPr>
          <w:rFonts w:hint="eastAsia"/>
          <w:lang w:val="en-US" w:eastAsia="zh-CN"/>
        </w:rPr>
      </w:pPr>
      <w:r>
        <w:rPr>
          <w:rFonts w:hint="eastAsia"/>
          <w:lang w:val="en-US" w:eastAsia="zh-CN"/>
        </w:rPr>
        <w:t>庞祎彤</w:t>
      </w:r>
    </w:p>
    <w:p w14:paraId="6870D1EE">
      <w:pPr>
        <w:ind w:firstLine="420" w:firstLineChars="0"/>
        <w:jc w:val="right"/>
        <w:rPr>
          <w:rFonts w:hint="default"/>
          <w:lang w:val="en-US" w:eastAsia="zh-CN"/>
        </w:rPr>
      </w:pPr>
      <w:r>
        <w:rPr>
          <w:rFonts w:hint="eastAsia"/>
          <w:lang w:val="en-US" w:eastAsia="zh-CN"/>
        </w:rPr>
        <w:t>2025年11月30日</w:t>
      </w:r>
    </w:p>
    <w:p w14:paraId="00795215">
      <w:pPr>
        <w:ind w:firstLine="420" w:firstLineChars="0"/>
        <w:rPr>
          <w:rFonts w:hint="default"/>
          <w:lang w:val="en-US" w:eastAsia="zh-CN"/>
        </w:rPr>
      </w:pPr>
    </w:p>
    <w:p w14:paraId="1DF110A8"/>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8B189C">
    <w:pPr>
      <w:pStyle w:val="7"/>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52D146">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6F52D146">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40"/>
      <w:gridCol w:w="2841"/>
      <w:gridCol w:w="2841"/>
    </w:tblGrid>
    <w:tr w14:paraId="4DF846EF">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tl2br w:val="nil"/>
            <w:tr2bl w:val="nil"/>
          </w:tcBorders>
        </w:tcPr>
        <w:p w14:paraId="04822A91">
          <w:pPr>
            <w:pStyle w:val="8"/>
            <w:pBdr>
              <w:top w:val="none" w:color="auto" w:sz="0" w:space="0"/>
              <w:left w:val="none" w:color="auto" w:sz="0" w:space="0"/>
              <w:bottom w:val="none" w:color="auto" w:sz="0" w:space="0"/>
              <w:right w:val="none" w:color="auto" w:sz="0" w:space="0"/>
            </w:pBdr>
            <w:rPr>
              <w:rFonts w:hint="default" w:eastAsiaTheme="minorEastAsia"/>
              <w:vertAlign w:val="baseline"/>
              <w:lang w:val="en-US" w:eastAsia="zh-CN"/>
            </w:rPr>
          </w:pPr>
          <w:r>
            <w:rPr>
              <w:rFonts w:hint="eastAsia"/>
              <w:vertAlign w:val="baseline"/>
              <w:lang w:eastAsia="zh-CN"/>
            </w:rPr>
            <w:t>《</w:t>
          </w:r>
          <w:r>
            <w:rPr>
              <w:rFonts w:hint="eastAsia"/>
              <w:vertAlign w:val="baseline"/>
              <w:lang w:val="en-US" w:eastAsia="zh-CN"/>
            </w:rPr>
            <w:t>传媒数据学</w:t>
          </w:r>
          <w:r>
            <w:rPr>
              <w:rFonts w:hint="eastAsia"/>
              <w:vertAlign w:val="baseline"/>
              <w:lang w:eastAsia="zh-CN"/>
            </w:rPr>
            <w:t>》</w:t>
          </w:r>
          <w:r>
            <w:rPr>
              <w:rFonts w:hint="eastAsia"/>
              <w:vertAlign w:val="baseline"/>
              <w:lang w:val="en-US" w:eastAsia="zh-CN"/>
            </w:rPr>
            <w:t>结课论文</w:t>
          </w:r>
        </w:p>
      </w:tc>
      <w:tc>
        <w:tcPr>
          <w:tcW w:w="2841" w:type="dxa"/>
          <w:tcBorders>
            <w:tl2br w:val="nil"/>
            <w:tr2bl w:val="nil"/>
          </w:tcBorders>
        </w:tcPr>
        <w:p w14:paraId="65A5BD31">
          <w:pPr>
            <w:pStyle w:val="8"/>
            <w:pBdr>
              <w:top w:val="none" w:color="auto" w:sz="0" w:space="0"/>
              <w:left w:val="none" w:color="auto" w:sz="0" w:space="0"/>
              <w:bottom w:val="none" w:color="auto" w:sz="0" w:space="0"/>
              <w:right w:val="none" w:color="auto" w:sz="0" w:space="0"/>
            </w:pBdr>
            <w:rPr>
              <w:vertAlign w:val="baseline"/>
            </w:rPr>
          </w:pPr>
        </w:p>
      </w:tc>
      <w:tc>
        <w:tcPr>
          <w:tcW w:w="2841" w:type="dxa"/>
          <w:tcBorders>
            <w:tl2br w:val="nil"/>
            <w:tr2bl w:val="nil"/>
          </w:tcBorders>
          <w:vAlign w:val="top"/>
        </w:tcPr>
        <w:p w14:paraId="4628F00D">
          <w:pPr>
            <w:pStyle w:val="8"/>
            <w:pBdr>
              <w:top w:val="none" w:color="auto" w:sz="0" w:space="0"/>
              <w:left w:val="none" w:color="auto" w:sz="0" w:space="0"/>
              <w:bottom w:val="none" w:color="auto" w:sz="0" w:space="0"/>
              <w:right w:val="none" w:color="auto" w:sz="0" w:space="0"/>
            </w:pBdr>
            <w:jc w:val="right"/>
            <w:rPr>
              <w:rFonts w:hint="default" w:eastAsiaTheme="minorEastAsia"/>
              <w:vertAlign w:val="baseline"/>
              <w:lang w:val="en-US" w:eastAsia="zh-CN"/>
            </w:rPr>
          </w:pPr>
          <w:r>
            <w:rPr>
              <w:rFonts w:hint="eastAsia"/>
              <w:vertAlign w:val="baseline"/>
              <w:lang w:val="en-US" w:eastAsia="zh-CN"/>
            </w:rPr>
            <w:t>庞祎彤 202413093001 数科2班</w:t>
          </w:r>
        </w:p>
      </w:tc>
    </w:tr>
  </w:tbl>
  <w:p w14:paraId="409C823A">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E8776B"/>
    <w:multiLevelType w:val="multilevel"/>
    <w:tmpl w:val="8AE8776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5D21AD0"/>
    <w:multiLevelType w:val="singleLevel"/>
    <w:tmpl w:val="95D21AD0"/>
    <w:lvl w:ilvl="0" w:tentative="0">
      <w:start w:val="1"/>
      <w:numFmt w:val="decimal"/>
      <w:lvlText w:val="%1."/>
      <w:lvlJc w:val="left"/>
      <w:pPr>
        <w:ind w:left="425" w:hanging="425"/>
      </w:pPr>
      <w:rPr>
        <w:rFonts w:hint="default"/>
      </w:rPr>
    </w:lvl>
  </w:abstractNum>
  <w:abstractNum w:abstractNumId="2">
    <w:nsid w:val="E66A451E"/>
    <w:multiLevelType w:val="multilevel"/>
    <w:tmpl w:val="E66A451E"/>
    <w:lvl w:ilvl="0" w:tentative="0">
      <w:start w:val="1"/>
      <w:numFmt w:val="chineseCounting"/>
      <w:suff w:val="nothing"/>
      <w:lvlText w:val="%1、"/>
      <w:lvlJc w:val="left"/>
      <w:pPr>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3">
    <w:nsid w:val="ED0C2642"/>
    <w:multiLevelType w:val="multilevel"/>
    <w:tmpl w:val="ED0C264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1A3CABE9"/>
    <w:multiLevelType w:val="singleLevel"/>
    <w:tmpl w:val="1A3CABE9"/>
    <w:lvl w:ilvl="0" w:tentative="0">
      <w:start w:val="1"/>
      <w:numFmt w:val="bullet"/>
      <w:lvlText w:val=""/>
      <w:lvlJc w:val="left"/>
      <w:pPr>
        <w:ind w:left="420" w:hanging="420"/>
      </w:pPr>
      <w:rPr>
        <w:rFonts w:hint="default" w:ascii="Wingdings" w:hAnsi="Wingdings"/>
      </w:rPr>
    </w:lvl>
  </w:abstractNum>
  <w:abstractNum w:abstractNumId="5">
    <w:nsid w:val="4FC0229C"/>
    <w:multiLevelType w:val="singleLevel"/>
    <w:tmpl w:val="4FC0229C"/>
    <w:lvl w:ilvl="0" w:tentative="0">
      <w:start w:val="1"/>
      <w:numFmt w:val="decimal"/>
      <w:lvlText w:val="%1."/>
      <w:lvlJc w:val="left"/>
      <w:pPr>
        <w:ind w:left="425" w:hanging="425"/>
      </w:pPr>
      <w:rPr>
        <w:rFonts w:hint="default"/>
      </w:rPr>
    </w:lvl>
  </w:abstractNum>
  <w:abstractNum w:abstractNumId="6">
    <w:nsid w:val="69C3F909"/>
    <w:multiLevelType w:val="multilevel"/>
    <w:tmpl w:val="69C3F90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6BF0646E"/>
    <w:multiLevelType w:val="multilevel"/>
    <w:tmpl w:val="6BF0646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75DC89AB"/>
    <w:multiLevelType w:val="singleLevel"/>
    <w:tmpl w:val="75DC89AB"/>
    <w:lvl w:ilvl="0" w:tentative="0">
      <w:start w:val="1"/>
      <w:numFmt w:val="chineseCounting"/>
      <w:suff w:val="space"/>
      <w:lvlText w:val="%1、"/>
      <w:lvlJc w:val="left"/>
      <w:rPr>
        <w:rFonts w:hint="eastAsia"/>
      </w:rPr>
    </w:lvl>
  </w:abstractNum>
  <w:num w:numId="1">
    <w:abstractNumId w:val="8"/>
  </w:num>
  <w:num w:numId="2">
    <w:abstractNumId w:val="6"/>
  </w:num>
  <w:num w:numId="3">
    <w:abstractNumId w:val="3"/>
  </w:num>
  <w:num w:numId="4">
    <w:abstractNumId w:val="7"/>
  </w:num>
  <w:num w:numId="5">
    <w:abstractNumId w:val="0"/>
  </w:num>
  <w:num w:numId="6">
    <w:abstractNumId w:val="4"/>
  </w:num>
  <w:num w:numId="7">
    <w:abstractNumId w:val="1"/>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VhNGJiMWVmZTg4ZjFhYWZhYWFiMzBkODkwYWRkZmUifQ=="/>
  </w:docVars>
  <w:rsids>
    <w:rsidRoot w:val="6C497842"/>
    <w:rsid w:val="00824069"/>
    <w:rsid w:val="020F7F07"/>
    <w:rsid w:val="075449B1"/>
    <w:rsid w:val="153A109D"/>
    <w:rsid w:val="1B564DF0"/>
    <w:rsid w:val="1B766E57"/>
    <w:rsid w:val="23404830"/>
    <w:rsid w:val="25CE6C15"/>
    <w:rsid w:val="3D402D06"/>
    <w:rsid w:val="472F6BA0"/>
    <w:rsid w:val="50CD7397"/>
    <w:rsid w:val="5385359D"/>
    <w:rsid w:val="6126447A"/>
    <w:rsid w:val="64AF1FB3"/>
    <w:rsid w:val="673568FD"/>
    <w:rsid w:val="6C497842"/>
    <w:rsid w:val="74256F86"/>
    <w:rsid w:val="75265E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toc 3"/>
    <w:basedOn w:val="1"/>
    <w:next w:val="1"/>
    <w:qFormat/>
    <w:uiPriority w:val="0"/>
    <w:pPr>
      <w:ind w:left="840" w:leftChars="400" w:firstLine="0" w:firstLineChars="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2"/>
    <w:basedOn w:val="1"/>
    <w:next w:val="1"/>
    <w:qFormat/>
    <w:uiPriority w:val="0"/>
    <w:pPr>
      <w:ind w:left="440" w:leftChars="200" w:firstLine="0" w:firstLineChars="0"/>
    </w:p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4367</Words>
  <Characters>4613</Characters>
  <Lines>0</Lines>
  <Paragraphs>0</Paragraphs>
  <TotalTime>17</TotalTime>
  <ScaleCrop>false</ScaleCrop>
  <LinksUpToDate>false</LinksUpToDate>
  <CharactersWithSpaces>4922</CharactersWithSpaces>
  <Application>WPS Office_12.1.0.29158_F1E327BC-269C-435d-A152-05C5408002CA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2023-11-27T05:41:00Z</dcterms:created>
  <dc:creator>shen</dc:creator>
  <cp:lastModifiedBy>Josephine Pang</cp:lastModifiedBy>
  <dcterms:modified xsi:type="dcterms:W3CDTF">2026-10-19T13:58:16Z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2052-12.1.0.29158</vt:lpwstr>
  </property>
  <property fmtid="{D5CDD505-2E9C-101B-9397-08002B2CF9AE}" pid="3" name="ICV">
    <vt:lpwstr>22673CD5B7AC410BA2342FA860984EDA_13</vt:lpwstr>
  </property>
  <property fmtid="{D5CDD505-2E9C-101B-9397-08002B2CF9AE}" pid="4" name="KSOTemplateDocerSaveRecord">
    <vt:lpwstr>eyJoZGlkIjoiNTU0ZmIwYTQ3NzlmZGUxZmU3Zjk0M2IyZTNmM2IxNjAiLCJ1c2VySWQiOiI1ODQ5MDE0ODkifQ==</vt:lpwstr>
  </property>
</Properties>
</file>