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3FA" w:rsidRDefault="00A608F2" w:rsidP="00A608F2">
      <w:pPr>
        <w:pStyle w:val="Title"/>
      </w:pPr>
      <w:r>
        <w:t>Assignment 3</w:t>
      </w:r>
    </w:p>
    <w:p w:rsidR="005575D1" w:rsidRDefault="005575D1" w:rsidP="005575D1">
      <w:r>
        <w:t>Josephine Hillebrand Hansen</w:t>
      </w:r>
    </w:p>
    <w:p w:rsidR="005575D1" w:rsidRPr="005575D1" w:rsidRDefault="005575D1" w:rsidP="005575D1">
      <w:r>
        <w:t>Cognitive Science at Aarhus University</w:t>
      </w:r>
    </w:p>
    <w:p w:rsidR="00A608F2" w:rsidRDefault="00A608F2" w:rsidP="00A608F2">
      <w:pPr>
        <w:pStyle w:val="Heading1"/>
      </w:pPr>
      <w:r>
        <w:t>Question 1) Assess the relation between symptom severity and IQ (focus on visit 1 and children with ASD)</w:t>
      </w:r>
    </w:p>
    <w:p w:rsidR="00A608F2" w:rsidRDefault="00E367B0" w:rsidP="00A608F2">
      <w:r>
        <w:t xml:space="preserve">First, I made a subset of the data only including the ASD data and data collected at visit 1. The relation between symptom severity and IQ was assessed for three </w:t>
      </w:r>
      <w:proofErr w:type="gramStart"/>
      <w:r>
        <w:t>different types</w:t>
      </w:r>
      <w:proofErr w:type="gramEnd"/>
      <w:r>
        <w:t xml:space="preserve"> of IQ: Verbal IQ, non-verbal IQ and social IQ.</w:t>
      </w:r>
    </w:p>
    <w:p w:rsidR="00757331" w:rsidRDefault="00757331" w:rsidP="00757331">
      <w:pPr>
        <w:pStyle w:val="Heading2"/>
      </w:pPr>
      <w:proofErr w:type="spellStart"/>
      <w:r>
        <w:t>VerbalIQ</w:t>
      </w:r>
      <w:proofErr w:type="spellEnd"/>
    </w:p>
    <w:p w:rsidR="00CF216C" w:rsidRDefault="00CF216C" w:rsidP="00CF216C">
      <w:r>
        <w:t xml:space="preserve">We assume that </w:t>
      </w:r>
      <w:r w:rsidR="00F72632">
        <w:t>verbal IQ is normally distributed, but we investigate the distribution by plotting it, which can also help us motivate our priors! The distribution is slightly skewed towards the right, seem to be highest around verbal IQ = 13 and a max of 40.</w:t>
      </w:r>
    </w:p>
    <w:p w:rsidR="00F72632" w:rsidRDefault="00F72632" w:rsidP="00CF216C">
      <w:r>
        <w:rPr>
          <w:noProof/>
        </w:rPr>
        <w:drawing>
          <wp:inline distT="0" distB="0" distL="0" distR="0" wp14:anchorId="62D03937" wp14:editId="329DA68C">
            <wp:extent cx="5243014" cy="36502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014" cy="3650296"/>
                    </a:xfrm>
                    <a:prstGeom prst="rect">
                      <a:avLst/>
                    </a:prstGeom>
                  </pic:spPr>
                </pic:pic>
              </a:graphicData>
            </a:graphic>
          </wp:inline>
        </w:drawing>
      </w:r>
    </w:p>
    <w:p w:rsidR="00063793" w:rsidRDefault="00063793" w:rsidP="00CF216C"/>
    <w:p w:rsidR="00AD0B91" w:rsidRDefault="000A74E8" w:rsidP="00757331">
      <w:pPr>
        <w:rPr>
          <w:rFonts w:eastAsiaTheme="minorEastAsia"/>
        </w:rPr>
      </w:pPr>
      <w:r>
        <w:t xml:space="preserve">In this case we want to predict </w:t>
      </w:r>
      <w:r w:rsidR="00875207">
        <w:t>ADOS</w:t>
      </w:r>
      <w:r>
        <w:t xml:space="preserve"> as our </w:t>
      </w:r>
      <w:r w:rsidR="00875207">
        <w:t xml:space="preserve">outcome measure. The outcome distribution will be a </w:t>
      </w:r>
      <w:proofErr w:type="spellStart"/>
      <w:r w:rsidR="00875207">
        <w:t>gaussion</w:t>
      </w:r>
      <w:proofErr w:type="spellEnd"/>
      <w:r w:rsidR="00875207">
        <w:t xml:space="preserve"> distribution with a mean, </w:t>
      </w:r>
      <m:oMath>
        <m:r>
          <w:rPr>
            <w:rFonts w:ascii="Cambria Math" w:hAnsi="Cambria Math"/>
          </w:rPr>
          <m:t>μ</m:t>
        </m:r>
      </m:oMath>
      <w:r w:rsidR="00875207">
        <w:rPr>
          <w:rFonts w:eastAsiaTheme="minorEastAsia"/>
        </w:rPr>
        <w:t xml:space="preserve"> and a standard deviation, </w:t>
      </w:r>
      <m:oMath>
        <m:r>
          <w:rPr>
            <w:rFonts w:ascii="Cambria Math" w:eastAsiaTheme="minorEastAsia" w:hAnsi="Cambria Math"/>
          </w:rPr>
          <m:t>σ.</m:t>
        </m:r>
      </m:oMath>
      <w:r w:rsidR="00875207">
        <w:rPr>
          <w:rFonts w:eastAsiaTheme="minorEastAsia"/>
        </w:rPr>
        <w:t xml:space="preserve"> We want to use verbal IQ as a predictor</w:t>
      </w:r>
      <w:r w:rsidR="0096473F">
        <w:rPr>
          <w:rFonts w:eastAsiaTheme="minorEastAsia"/>
        </w:rPr>
        <w:t xml:space="preserve">. </w:t>
      </w:r>
      <w:proofErr w:type="gramStart"/>
      <w:r w:rsidR="0096473F">
        <w:rPr>
          <w:rFonts w:eastAsiaTheme="minorEastAsia"/>
        </w:rPr>
        <w:t>Thus</w:t>
      </w:r>
      <w:proofErr w:type="gramEnd"/>
      <w:r w:rsidR="00AD0B91">
        <w:rPr>
          <w:rFonts w:eastAsiaTheme="minorEastAsia"/>
        </w:rPr>
        <w:t xml:space="preserve"> the model is given with:</w:t>
      </w:r>
    </w:p>
    <w:p w:rsidR="0096473F" w:rsidRPr="0096473F" w:rsidRDefault="0096473F" w:rsidP="00757331">
      <w:pPr>
        <w:rPr>
          <w:rFonts w:eastAsiaTheme="minorEastAsia"/>
        </w:rPr>
      </w:pPr>
      <m:oMathPara>
        <m:oMath>
          <m:r>
            <w:rPr>
              <w:rFonts w:ascii="Cambria Math" w:hAnsi="Cambria Math"/>
            </w:rPr>
            <m:t>ADO</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r>
                <w:rPr>
                  <w:rFonts w:ascii="Cambria Math" w:hAnsi="Cambria Math"/>
                </w:rPr>
                <m:t>σ</m:t>
              </m:r>
            </m:e>
          </m:d>
        </m:oMath>
      </m:oMathPara>
    </w:p>
    <w:p w:rsidR="0096473F" w:rsidRPr="00AD0B91" w:rsidRDefault="0096473F" w:rsidP="007573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β*verbalI</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m:oMathPara>
    </w:p>
    <w:p w:rsidR="00B54841" w:rsidRDefault="00AD0B91" w:rsidP="00757331">
      <w:pPr>
        <w:rPr>
          <w:rFonts w:eastAsiaTheme="minorEastAsia"/>
        </w:rPr>
      </w:pPr>
      <w:r>
        <w:rPr>
          <w:rFonts w:eastAsiaTheme="minorEastAsia"/>
        </w:rPr>
        <w:t xml:space="preserve">We now move on to </w:t>
      </w:r>
      <w:r w:rsidR="00B54841">
        <w:rPr>
          <w:rFonts w:eastAsiaTheme="minorEastAsia"/>
        </w:rPr>
        <w:t>define our parameters and</w:t>
      </w:r>
      <w:r>
        <w:rPr>
          <w:rFonts w:eastAsiaTheme="minorEastAsia"/>
        </w:rPr>
        <w:t xml:space="preserve"> </w:t>
      </w:r>
      <m:oMath>
        <m:r>
          <w:rPr>
            <w:rFonts w:ascii="Cambria Math" w:eastAsiaTheme="minorEastAsia" w:hAnsi="Cambria Math"/>
          </w:rPr>
          <m:t>σ</m:t>
        </m:r>
      </m:oMath>
      <w:r w:rsidR="00B54841">
        <w:rPr>
          <w:rFonts w:eastAsiaTheme="minorEastAsia"/>
        </w:rPr>
        <w:t xml:space="preserve">. We define </w:t>
      </w:r>
      <m:oMath>
        <m:r>
          <w:rPr>
            <w:rFonts w:ascii="Cambria Math" w:eastAsiaTheme="minorEastAsia" w:hAnsi="Cambria Math"/>
          </w:rPr>
          <m:t>α</m:t>
        </m:r>
      </m:oMath>
      <w:r w:rsidR="00B54841">
        <w:rPr>
          <w:rFonts w:eastAsiaTheme="minorEastAsia"/>
        </w:rPr>
        <w:t xml:space="preserve"> as a normal distribution centered around 20, as ADOS </w:t>
      </w:r>
      <w:proofErr w:type="gramStart"/>
      <w:r w:rsidR="00B54841">
        <w:rPr>
          <w:rFonts w:eastAsiaTheme="minorEastAsia"/>
        </w:rPr>
        <w:t>is more or less</w:t>
      </w:r>
      <w:proofErr w:type="gramEnd"/>
      <w:r w:rsidR="00B54841">
        <w:rPr>
          <w:rFonts w:eastAsiaTheme="minorEastAsia"/>
        </w:rPr>
        <w:t xml:space="preserve"> 20, when the </w:t>
      </w:r>
      <w:proofErr w:type="spellStart"/>
      <w:r w:rsidR="00B54841">
        <w:rPr>
          <w:rFonts w:eastAsiaTheme="minorEastAsia"/>
        </w:rPr>
        <w:t>verbalIQ</w:t>
      </w:r>
      <w:proofErr w:type="spellEnd"/>
      <w:r w:rsidR="00B54841">
        <w:rPr>
          <w:rFonts w:eastAsiaTheme="minorEastAsia"/>
        </w:rPr>
        <w:t xml:space="preserve"> is centered around 0, with a broad standard deviation of 10, as we are not too sure of this information.</w:t>
      </w:r>
    </w:p>
    <w:p w:rsidR="00B54841" w:rsidRDefault="001D7359" w:rsidP="00757331">
      <w:pPr>
        <w:rPr>
          <w:rFonts w:eastAsiaTheme="minorEastAsia"/>
        </w:rPr>
      </w:pPr>
      <w:r>
        <w:rPr>
          <w:rFonts w:eastAsiaTheme="minorEastAsia"/>
        </w:rPr>
        <w:t xml:space="preserve">We define </w:t>
      </w:r>
      <m:oMath>
        <m:r>
          <w:rPr>
            <w:rFonts w:ascii="Cambria Math" w:eastAsiaTheme="minorEastAsia" w:hAnsi="Cambria Math"/>
          </w:rPr>
          <m:t>β</m:t>
        </m:r>
      </m:oMath>
      <w:r>
        <w:rPr>
          <w:rFonts w:eastAsiaTheme="minorEastAsia"/>
        </w:rPr>
        <w:t xml:space="preserve"> as a normal distribution centered around 0, with a standard deviation of </w:t>
      </w:r>
      <w:r w:rsidR="008D55DD">
        <w:rPr>
          <w:rFonts w:eastAsiaTheme="minorEastAsia"/>
        </w:rPr>
        <w:t>10</w:t>
      </w:r>
      <w:r>
        <w:rPr>
          <w:rFonts w:eastAsiaTheme="minorEastAsia"/>
        </w:rPr>
        <w:t xml:space="preserve">. We center it around 0, as we are unsure about the relation between ADOS and </w:t>
      </w:r>
      <w:proofErr w:type="spellStart"/>
      <w:r>
        <w:rPr>
          <w:rFonts w:eastAsiaTheme="minorEastAsia"/>
        </w:rPr>
        <w:t>verbalIQ</w:t>
      </w:r>
      <w:proofErr w:type="spellEnd"/>
      <w:r>
        <w:rPr>
          <w:rFonts w:eastAsiaTheme="minorEastAsia"/>
        </w:rPr>
        <w:t xml:space="preserve"> and therefore want to allow the model to make its inference.</w:t>
      </w:r>
      <w:r w:rsidR="00600109">
        <w:rPr>
          <w:rFonts w:eastAsiaTheme="minorEastAsia"/>
        </w:rPr>
        <w:t xml:space="preserve"> Basically, this prior was chosen because we don’t know anything.</w:t>
      </w:r>
    </w:p>
    <w:p w:rsidR="00AD0B91" w:rsidRDefault="00B54841" w:rsidP="00757331">
      <w:pPr>
        <w:rPr>
          <w:rFonts w:eastAsiaTheme="minorEastAsia"/>
        </w:rPr>
      </w:pPr>
      <m:oMath>
        <m:r>
          <w:rPr>
            <w:rFonts w:ascii="Cambria Math" w:eastAsiaTheme="minorEastAsia" w:hAnsi="Cambria Math"/>
          </w:rPr>
          <m:t>σ</m:t>
        </m:r>
      </m:oMath>
      <w:r>
        <w:rPr>
          <w:rFonts w:eastAsiaTheme="minorEastAsia"/>
        </w:rPr>
        <w:t xml:space="preserve"> will be defined as a uniform distribution between 0 and 30, as 0 is the lowest value of our outcome measure ADOS, and 30 is circa max.</w:t>
      </w:r>
    </w:p>
    <w:p w:rsidR="001D7359" w:rsidRDefault="001D7359" w:rsidP="00757331">
      <w:pPr>
        <w:rPr>
          <w:rFonts w:eastAsiaTheme="minorEastAsia"/>
        </w:rPr>
      </w:pPr>
      <w:r>
        <w:rPr>
          <w:rFonts w:eastAsiaTheme="minorEastAsia"/>
        </w:rPr>
        <w:t>The full model specification follows below:</w:t>
      </w:r>
    </w:p>
    <w:p w:rsidR="001D7359" w:rsidRPr="0096473F" w:rsidRDefault="001D7359" w:rsidP="001D7359">
      <w:pPr>
        <w:rPr>
          <w:rFonts w:eastAsiaTheme="minorEastAsia"/>
        </w:rPr>
      </w:pPr>
      <m:oMathPara>
        <m:oMath>
          <m:r>
            <w:rPr>
              <w:rFonts w:ascii="Cambria Math" w:hAnsi="Cambria Math"/>
            </w:rPr>
            <m:t>ADO</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σ</m:t>
              </m:r>
            </m:e>
          </m:d>
        </m:oMath>
      </m:oMathPara>
    </w:p>
    <w:p w:rsidR="001D7359" w:rsidRPr="00AD0B91" w:rsidRDefault="001D7359" w:rsidP="001D73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=α+β*verbalI</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m:oMathPara>
    </w:p>
    <w:p w:rsidR="00B54841" w:rsidRPr="0096473F" w:rsidRDefault="001D7359" w:rsidP="00757331">
      <w:pPr>
        <w:rPr>
          <w:rFonts w:eastAsiaTheme="minorEastAsia"/>
        </w:rPr>
      </w:pPr>
      <m:oMathPara>
        <m:oMath>
          <m:r>
            <w:rPr>
              <w:rFonts w:ascii="Cambria Math" w:eastAsiaTheme="minorEastAsia" w:hAnsi="Cambria Math"/>
            </w:rPr>
            <m:t xml:space="preserve">α </m:t>
          </m:r>
          <m:r>
            <w:rPr>
              <w:rFonts w:ascii="Cambria Math" w:eastAsiaTheme="minorEastAsia" w:hAnsi="Cambria Math"/>
            </w:rPr>
            <m:t>~ normal(20,10)</m:t>
          </m:r>
        </m:oMath>
      </m:oMathPara>
    </w:p>
    <w:p w:rsidR="0096473F" w:rsidRPr="0096473F" w:rsidRDefault="00AD0B91" w:rsidP="00757331">
      <w:pPr>
        <w:rPr>
          <w:rFonts w:eastAsiaTheme="minorEastAsia"/>
        </w:rPr>
      </w:pPr>
      <m:oMathPara>
        <m:oMath>
          <m:r>
            <w:rPr>
              <w:rFonts w:ascii="Cambria Math" w:eastAsiaTheme="minorEastAsia" w:hAnsi="Cambria Math"/>
            </w:rPr>
            <m:t>β</m:t>
          </m:r>
          <m:r>
            <w:rPr>
              <w:rFonts w:ascii="Cambria Math" w:eastAsiaTheme="minorEastAsia" w:hAnsi="Cambria Math"/>
            </w:rPr>
            <m:t xml:space="preserve"> ~ normal</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1</m:t>
              </m:r>
              <m:r>
                <w:rPr>
                  <w:rFonts w:ascii="Cambria Math" w:eastAsiaTheme="minorEastAsia" w:hAnsi="Cambria Math"/>
                </w:rPr>
                <m:t>0</m:t>
              </m:r>
            </m:e>
          </m:d>
        </m:oMath>
      </m:oMathPara>
    </w:p>
    <w:p w:rsidR="0096473F" w:rsidRPr="00AD0B91" w:rsidRDefault="0096473F" w:rsidP="00757331">
      <w:pPr>
        <w:rPr>
          <w:rFonts w:eastAsiaTheme="minorEastAsia"/>
        </w:rPr>
      </w:pPr>
      <m:oMathPara>
        <m:oMath>
          <m:r>
            <w:rPr>
              <w:rFonts w:ascii="Cambria Math" w:eastAsiaTheme="minorEastAsia" w:hAnsi="Cambria Math"/>
            </w:rPr>
            <m:t xml:space="preserve">σ ~ </m:t>
          </m:r>
          <m:r>
            <w:rPr>
              <w:rFonts w:ascii="Cambria Math" w:eastAsiaTheme="minorEastAsia" w:hAnsi="Cambria Math"/>
            </w:rPr>
            <m:t>uniform</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30</m:t>
          </m:r>
          <m:r>
            <w:rPr>
              <w:rFonts w:ascii="Cambria Math" w:eastAsiaTheme="minorEastAsia" w:hAnsi="Cambria Math"/>
            </w:rPr>
            <m:t xml:space="preserve">) </m:t>
          </m:r>
        </m:oMath>
      </m:oMathPara>
    </w:p>
    <w:p w:rsidR="00AD0B91" w:rsidRDefault="008D55DD" w:rsidP="00757331">
      <w:pPr>
        <w:rPr>
          <w:rFonts w:eastAsiaTheme="minorEastAsia"/>
        </w:rPr>
      </w:pPr>
      <w:r>
        <w:rPr>
          <w:rFonts w:eastAsiaTheme="minorEastAsia"/>
        </w:rPr>
        <w:t xml:space="preserve">All priors are </w:t>
      </w:r>
      <w:proofErr w:type="gramStart"/>
      <w:r>
        <w:rPr>
          <w:rFonts w:eastAsiaTheme="minorEastAsia"/>
        </w:rPr>
        <w:t>fairly weak</w:t>
      </w:r>
      <w:proofErr w:type="gramEnd"/>
      <w:r>
        <w:rPr>
          <w:rFonts w:eastAsiaTheme="minorEastAsia"/>
        </w:rPr>
        <w:t xml:space="preserve">. </w:t>
      </w:r>
      <w:r w:rsidR="00AD0B91">
        <w:rPr>
          <w:rFonts w:eastAsiaTheme="minorEastAsia"/>
        </w:rPr>
        <w:t xml:space="preserve">The model was fit using a quadratic approximation, using the function </w:t>
      </w:r>
      <w:proofErr w:type="gramStart"/>
      <w:r w:rsidR="00AD0B91">
        <w:rPr>
          <w:rFonts w:eastAsiaTheme="minorEastAsia"/>
        </w:rPr>
        <w:t>map(</w:t>
      </w:r>
      <w:proofErr w:type="gramEnd"/>
      <w:r w:rsidR="00AD0B91">
        <w:rPr>
          <w:rFonts w:eastAsiaTheme="minorEastAsia"/>
        </w:rPr>
        <w:t>) in R.</w:t>
      </w:r>
    </w:p>
    <w:p w:rsidR="00600109" w:rsidRDefault="00600109" w:rsidP="00757331">
      <w:pPr>
        <w:rPr>
          <w:rFonts w:eastAsiaTheme="minorEastAsia"/>
        </w:rPr>
      </w:pPr>
      <w:r>
        <w:rPr>
          <w:rFonts w:eastAsiaTheme="minorEastAsia"/>
        </w:rPr>
        <w:t>We know get the gaussian approximations of each parameter’s marginal distribution. Thus, we get the posterior. The output is:</w:t>
      </w:r>
    </w:p>
    <w:tbl>
      <w:tblPr>
        <w:tblStyle w:val="TableGrid"/>
        <w:tblW w:w="0" w:type="auto"/>
        <w:tblLook w:val="04A0" w:firstRow="1" w:lastRow="0" w:firstColumn="1" w:lastColumn="0" w:noHBand="0" w:noVBand="1"/>
      </w:tblPr>
      <w:tblGrid>
        <w:gridCol w:w="1870"/>
        <w:gridCol w:w="1870"/>
        <w:gridCol w:w="1870"/>
        <w:gridCol w:w="1870"/>
        <w:gridCol w:w="1870"/>
      </w:tblGrid>
      <w:tr w:rsidR="00600109" w:rsidTr="00600109">
        <w:tc>
          <w:tcPr>
            <w:tcW w:w="1870" w:type="dxa"/>
          </w:tcPr>
          <w:p w:rsidR="00600109" w:rsidRDefault="00600109" w:rsidP="00757331">
            <w:pPr>
              <w:rPr>
                <w:rFonts w:eastAsiaTheme="minorEastAsia"/>
              </w:rPr>
            </w:pPr>
          </w:p>
        </w:tc>
        <w:tc>
          <w:tcPr>
            <w:tcW w:w="1870" w:type="dxa"/>
          </w:tcPr>
          <w:p w:rsidR="00600109" w:rsidRDefault="00600109" w:rsidP="00757331">
            <w:pPr>
              <w:rPr>
                <w:rFonts w:eastAsiaTheme="minorEastAsia"/>
              </w:rPr>
            </w:pPr>
            <w:r>
              <w:rPr>
                <w:rFonts w:eastAsiaTheme="minorEastAsia"/>
              </w:rPr>
              <w:t>Mean</w:t>
            </w:r>
          </w:p>
        </w:tc>
        <w:tc>
          <w:tcPr>
            <w:tcW w:w="1870" w:type="dxa"/>
          </w:tcPr>
          <w:p w:rsidR="00600109" w:rsidRDefault="00600109" w:rsidP="00757331">
            <w:pPr>
              <w:rPr>
                <w:rFonts w:eastAsiaTheme="minorEastAsia"/>
              </w:rPr>
            </w:pPr>
            <w:r>
              <w:rPr>
                <w:rFonts w:eastAsiaTheme="minorEastAsia"/>
              </w:rPr>
              <w:t>Standard deviation</w:t>
            </w:r>
          </w:p>
        </w:tc>
        <w:tc>
          <w:tcPr>
            <w:tcW w:w="1870" w:type="dxa"/>
          </w:tcPr>
          <w:p w:rsidR="00600109" w:rsidRDefault="00600109" w:rsidP="00757331">
            <w:pPr>
              <w:rPr>
                <w:rFonts w:eastAsiaTheme="minorEastAsia"/>
              </w:rPr>
            </w:pPr>
            <w:r>
              <w:rPr>
                <w:rFonts w:eastAsiaTheme="minorEastAsia"/>
              </w:rPr>
              <w:t>5.5%</w:t>
            </w:r>
          </w:p>
        </w:tc>
        <w:tc>
          <w:tcPr>
            <w:tcW w:w="1870" w:type="dxa"/>
          </w:tcPr>
          <w:p w:rsidR="00600109" w:rsidRDefault="00600109" w:rsidP="00757331">
            <w:pPr>
              <w:rPr>
                <w:rFonts w:eastAsiaTheme="minorEastAsia"/>
              </w:rPr>
            </w:pPr>
            <w:r>
              <w:rPr>
                <w:rFonts w:eastAsiaTheme="minorEastAsia"/>
              </w:rPr>
              <w:t>94.5 %</w:t>
            </w:r>
          </w:p>
        </w:tc>
      </w:tr>
      <w:tr w:rsidR="00600109" w:rsidTr="00600109">
        <w:tc>
          <w:tcPr>
            <w:tcW w:w="1870" w:type="dxa"/>
          </w:tcPr>
          <w:p w:rsidR="00600109" w:rsidRDefault="00600109" w:rsidP="00757331">
            <w:pPr>
              <w:rPr>
                <w:rFonts w:eastAsiaTheme="minorEastAsia"/>
              </w:rPr>
            </w:pPr>
            <m:oMathPara>
              <m:oMath>
                <m:r>
                  <w:rPr>
                    <w:rFonts w:ascii="Cambria Math" w:eastAsiaTheme="minorEastAsia" w:hAnsi="Cambria Math"/>
                  </w:rPr>
                  <m:t>α</m:t>
                </m:r>
              </m:oMath>
            </m:oMathPara>
          </w:p>
        </w:tc>
        <w:tc>
          <w:tcPr>
            <w:tcW w:w="1870" w:type="dxa"/>
          </w:tcPr>
          <w:p w:rsidR="00600109" w:rsidRDefault="00600109" w:rsidP="00757331">
            <w:pPr>
              <w:rPr>
                <w:rFonts w:eastAsiaTheme="minorEastAsia"/>
              </w:rPr>
            </w:pPr>
            <w:r>
              <w:rPr>
                <w:rFonts w:eastAsiaTheme="minorEastAsia"/>
              </w:rPr>
              <w:t>21.75</w:t>
            </w:r>
          </w:p>
        </w:tc>
        <w:tc>
          <w:tcPr>
            <w:tcW w:w="1870" w:type="dxa"/>
          </w:tcPr>
          <w:p w:rsidR="00600109" w:rsidRDefault="00600109" w:rsidP="00757331">
            <w:pPr>
              <w:rPr>
                <w:rFonts w:eastAsiaTheme="minorEastAsia"/>
              </w:rPr>
            </w:pPr>
            <w:r>
              <w:rPr>
                <w:rFonts w:eastAsiaTheme="minorEastAsia"/>
              </w:rPr>
              <w:t>1.40</w:t>
            </w:r>
          </w:p>
        </w:tc>
        <w:tc>
          <w:tcPr>
            <w:tcW w:w="1870" w:type="dxa"/>
          </w:tcPr>
          <w:p w:rsidR="00600109" w:rsidRDefault="00600109" w:rsidP="00757331">
            <w:pPr>
              <w:rPr>
                <w:rFonts w:eastAsiaTheme="minorEastAsia"/>
              </w:rPr>
            </w:pPr>
            <w:r>
              <w:rPr>
                <w:rFonts w:eastAsiaTheme="minorEastAsia"/>
              </w:rPr>
              <w:t>19.52</w:t>
            </w:r>
          </w:p>
        </w:tc>
        <w:tc>
          <w:tcPr>
            <w:tcW w:w="1870" w:type="dxa"/>
          </w:tcPr>
          <w:p w:rsidR="00600109" w:rsidRDefault="00600109" w:rsidP="00757331">
            <w:pPr>
              <w:rPr>
                <w:rFonts w:eastAsiaTheme="minorEastAsia"/>
              </w:rPr>
            </w:pPr>
            <w:r>
              <w:rPr>
                <w:rFonts w:eastAsiaTheme="minorEastAsia"/>
              </w:rPr>
              <w:t>23.98</w:t>
            </w:r>
          </w:p>
        </w:tc>
      </w:tr>
      <w:tr w:rsidR="00600109" w:rsidTr="00600109">
        <w:tc>
          <w:tcPr>
            <w:tcW w:w="1870" w:type="dxa"/>
          </w:tcPr>
          <w:p w:rsidR="00600109" w:rsidRDefault="00600109" w:rsidP="00757331">
            <w:pPr>
              <w:rPr>
                <w:rFonts w:eastAsiaTheme="minorEastAsia"/>
              </w:rPr>
            </w:pPr>
            <m:oMathPara>
              <m:oMath>
                <m:r>
                  <w:rPr>
                    <w:rFonts w:ascii="Cambria Math" w:eastAsiaTheme="minorEastAsia" w:hAnsi="Cambria Math"/>
                  </w:rPr>
                  <m:t>β</m:t>
                </m:r>
              </m:oMath>
            </m:oMathPara>
          </w:p>
        </w:tc>
        <w:tc>
          <w:tcPr>
            <w:tcW w:w="1870" w:type="dxa"/>
          </w:tcPr>
          <w:p w:rsidR="00600109" w:rsidRDefault="00600109" w:rsidP="00757331">
            <w:pPr>
              <w:rPr>
                <w:rFonts w:eastAsiaTheme="minorEastAsia"/>
              </w:rPr>
            </w:pPr>
            <w:r>
              <w:rPr>
                <w:rFonts w:eastAsiaTheme="minorEastAsia"/>
              </w:rPr>
              <w:t>-0.44</w:t>
            </w:r>
          </w:p>
        </w:tc>
        <w:tc>
          <w:tcPr>
            <w:tcW w:w="1870" w:type="dxa"/>
          </w:tcPr>
          <w:p w:rsidR="00600109" w:rsidRDefault="00600109" w:rsidP="00757331">
            <w:pPr>
              <w:rPr>
                <w:rFonts w:eastAsiaTheme="minorEastAsia"/>
              </w:rPr>
            </w:pPr>
            <w:r>
              <w:rPr>
                <w:rFonts w:eastAsiaTheme="minorEastAsia"/>
              </w:rPr>
              <w:t>0.07</w:t>
            </w:r>
          </w:p>
        </w:tc>
        <w:tc>
          <w:tcPr>
            <w:tcW w:w="1870" w:type="dxa"/>
          </w:tcPr>
          <w:p w:rsidR="00600109" w:rsidRDefault="00600109" w:rsidP="00757331">
            <w:pPr>
              <w:rPr>
                <w:rFonts w:eastAsiaTheme="minorEastAsia"/>
              </w:rPr>
            </w:pPr>
            <w:r>
              <w:rPr>
                <w:rFonts w:eastAsiaTheme="minorEastAsia"/>
              </w:rPr>
              <w:t>-0.55</w:t>
            </w:r>
          </w:p>
        </w:tc>
        <w:tc>
          <w:tcPr>
            <w:tcW w:w="1870" w:type="dxa"/>
          </w:tcPr>
          <w:p w:rsidR="00600109" w:rsidRDefault="00600109" w:rsidP="00757331">
            <w:pPr>
              <w:rPr>
                <w:rFonts w:eastAsiaTheme="minorEastAsia"/>
              </w:rPr>
            </w:pPr>
            <w:r>
              <w:rPr>
                <w:rFonts w:eastAsiaTheme="minorEastAsia"/>
              </w:rPr>
              <w:t>-0.33</w:t>
            </w:r>
          </w:p>
        </w:tc>
      </w:tr>
      <w:tr w:rsidR="00600109" w:rsidTr="00600109">
        <w:tc>
          <w:tcPr>
            <w:tcW w:w="1870" w:type="dxa"/>
          </w:tcPr>
          <w:p w:rsidR="00600109" w:rsidRDefault="00600109" w:rsidP="00757331">
            <w:pPr>
              <w:rPr>
                <w:rFonts w:eastAsiaTheme="minorEastAsia"/>
              </w:rPr>
            </w:pPr>
            <m:oMathPara>
              <m:oMath>
                <m:r>
                  <w:rPr>
                    <w:rFonts w:ascii="Cambria Math" w:eastAsiaTheme="minorEastAsia" w:hAnsi="Cambria Math"/>
                  </w:rPr>
                  <m:t>σ</m:t>
                </m:r>
              </m:oMath>
            </m:oMathPara>
          </w:p>
        </w:tc>
        <w:tc>
          <w:tcPr>
            <w:tcW w:w="1870" w:type="dxa"/>
          </w:tcPr>
          <w:p w:rsidR="00600109" w:rsidRDefault="00600109" w:rsidP="00757331">
            <w:pPr>
              <w:rPr>
                <w:rFonts w:eastAsiaTheme="minorEastAsia"/>
              </w:rPr>
            </w:pPr>
            <w:r>
              <w:rPr>
                <w:rFonts w:eastAsiaTheme="minorEastAsia"/>
              </w:rPr>
              <w:t>3.16</w:t>
            </w:r>
          </w:p>
        </w:tc>
        <w:tc>
          <w:tcPr>
            <w:tcW w:w="1870" w:type="dxa"/>
          </w:tcPr>
          <w:p w:rsidR="00600109" w:rsidRDefault="00600109" w:rsidP="00757331">
            <w:pPr>
              <w:rPr>
                <w:rFonts w:eastAsiaTheme="minorEastAsia"/>
              </w:rPr>
            </w:pPr>
            <w:r>
              <w:rPr>
                <w:rFonts w:eastAsiaTheme="minorEastAsia"/>
              </w:rPr>
              <w:t>0.38</w:t>
            </w:r>
          </w:p>
        </w:tc>
        <w:tc>
          <w:tcPr>
            <w:tcW w:w="1870" w:type="dxa"/>
          </w:tcPr>
          <w:p w:rsidR="00600109" w:rsidRDefault="00600109" w:rsidP="00757331">
            <w:pPr>
              <w:rPr>
                <w:rFonts w:eastAsiaTheme="minorEastAsia"/>
              </w:rPr>
            </w:pPr>
            <w:r>
              <w:rPr>
                <w:rFonts w:eastAsiaTheme="minorEastAsia"/>
              </w:rPr>
              <w:t>2.55</w:t>
            </w:r>
          </w:p>
        </w:tc>
        <w:tc>
          <w:tcPr>
            <w:tcW w:w="1870" w:type="dxa"/>
          </w:tcPr>
          <w:p w:rsidR="00600109" w:rsidRDefault="00600109" w:rsidP="00757331">
            <w:pPr>
              <w:rPr>
                <w:rFonts w:eastAsiaTheme="minorEastAsia"/>
              </w:rPr>
            </w:pPr>
            <w:r>
              <w:rPr>
                <w:rFonts w:eastAsiaTheme="minorEastAsia"/>
              </w:rPr>
              <w:t>3.78</w:t>
            </w:r>
          </w:p>
        </w:tc>
      </w:tr>
    </w:tbl>
    <w:p w:rsidR="00600109" w:rsidRDefault="00600109" w:rsidP="00757331">
      <w:pPr>
        <w:rPr>
          <w:rFonts w:eastAsiaTheme="minorEastAsia"/>
        </w:rPr>
      </w:pPr>
    </w:p>
    <w:p w:rsidR="00B24F6A" w:rsidRDefault="00B24F6A" w:rsidP="00B24F6A">
      <w:r>
        <w:t xml:space="preserve">We also plotted the relation between </w:t>
      </w:r>
      <w:proofErr w:type="spellStart"/>
      <w:r>
        <w:t>verbalIQ</w:t>
      </w:r>
      <w:proofErr w:type="spellEnd"/>
      <w:r>
        <w:t xml:space="preserve"> and ADOS</w:t>
      </w:r>
      <w:r>
        <w:t xml:space="preserve"> together with the posterior inference (black line). From the plot we can clearly see a negative correlation between verbal IQ and ADOS.</w:t>
      </w:r>
    </w:p>
    <w:p w:rsidR="00B24F6A" w:rsidRDefault="00B24F6A" w:rsidP="00B24F6A">
      <w:r>
        <w:rPr>
          <w:noProof/>
        </w:rPr>
        <w:lastRenderedPageBreak/>
        <w:drawing>
          <wp:inline distT="0" distB="0" distL="0" distR="0" wp14:anchorId="77607035" wp14:editId="49BDA4E7">
            <wp:extent cx="5243014" cy="36502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014" cy="3650296"/>
                    </a:xfrm>
                    <a:prstGeom prst="rect">
                      <a:avLst/>
                    </a:prstGeom>
                  </pic:spPr>
                </pic:pic>
              </a:graphicData>
            </a:graphic>
          </wp:inline>
        </w:drawing>
      </w:r>
    </w:p>
    <w:p w:rsidR="00B24F6A" w:rsidRDefault="00B24F6A" w:rsidP="00B24F6A">
      <w:r>
        <w:t>We also made a plot showing the uncertainty of the MAP-line.</w:t>
      </w:r>
      <w:r w:rsidR="00BF1AA9">
        <w:t xml:space="preserve"> It is easy to see from the plot below, that the model shows greater uncertainty at extreme values.</w:t>
      </w:r>
    </w:p>
    <w:p w:rsidR="00BF1AA9" w:rsidRDefault="00CD5534" w:rsidP="00B24F6A">
      <w:r>
        <w:rPr>
          <w:noProof/>
        </w:rPr>
        <w:drawing>
          <wp:inline distT="0" distB="0" distL="0" distR="0" wp14:anchorId="5C785DD2" wp14:editId="7C82812B">
            <wp:extent cx="5243014" cy="36502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3650296"/>
                    </a:xfrm>
                    <a:prstGeom prst="rect">
                      <a:avLst/>
                    </a:prstGeom>
                  </pic:spPr>
                </pic:pic>
              </a:graphicData>
            </a:graphic>
          </wp:inline>
        </w:drawing>
      </w:r>
    </w:p>
    <w:p w:rsidR="00265D0D" w:rsidRDefault="00265D0D" w:rsidP="00B24F6A">
      <w:r>
        <w:t>We also plotted the posterior distribution (red line) against the data (black line).</w:t>
      </w:r>
    </w:p>
    <w:p w:rsidR="00265D0D" w:rsidRPr="00CF216C" w:rsidRDefault="00265D0D" w:rsidP="00B24F6A">
      <w:r>
        <w:rPr>
          <w:noProof/>
        </w:rPr>
        <w:lastRenderedPageBreak/>
        <w:drawing>
          <wp:inline distT="0" distB="0" distL="0" distR="0" wp14:anchorId="51FEC590" wp14:editId="4B30230A">
            <wp:extent cx="5243014" cy="365029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014" cy="3650296"/>
                    </a:xfrm>
                    <a:prstGeom prst="rect">
                      <a:avLst/>
                    </a:prstGeom>
                  </pic:spPr>
                </pic:pic>
              </a:graphicData>
            </a:graphic>
          </wp:inline>
        </w:drawing>
      </w:r>
    </w:p>
    <w:p w:rsidR="00B24F6A" w:rsidRDefault="00B24F6A" w:rsidP="00757331">
      <w:pPr>
        <w:rPr>
          <w:rFonts w:eastAsiaTheme="minorEastAsia"/>
        </w:rPr>
      </w:pPr>
    </w:p>
    <w:p w:rsidR="00B24F6A" w:rsidRPr="0096473F" w:rsidRDefault="00B24F6A" w:rsidP="00757331">
      <w:pPr>
        <w:rPr>
          <w:rFonts w:eastAsiaTheme="minorEastAsia"/>
        </w:rPr>
      </w:pPr>
    </w:p>
    <w:p w:rsidR="00757331" w:rsidRDefault="00757331" w:rsidP="00757331">
      <w:pPr>
        <w:pStyle w:val="Heading1"/>
      </w:pPr>
      <w:r>
        <w:t xml:space="preserve">Question 2) Do the </w:t>
      </w:r>
      <w:proofErr w:type="gramStart"/>
      <w:r>
        <w:t>different aspects</w:t>
      </w:r>
      <w:proofErr w:type="gramEnd"/>
      <w:r>
        <w:t xml:space="preserve"> of IQ account for different portions of variance in ADOS?</w:t>
      </w:r>
    </w:p>
    <w:p w:rsidR="003B2DAD" w:rsidRDefault="003B2DAD" w:rsidP="003B2DAD">
      <w:pPr>
        <w:pStyle w:val="Heading2"/>
      </w:pPr>
      <w:r>
        <w:t>Question 2.1 Does it make sense to have all IQ measures in the same model?</w:t>
      </w:r>
    </w:p>
    <w:p w:rsidR="004424B9" w:rsidRDefault="004424B9" w:rsidP="004424B9">
      <w:r>
        <w:t xml:space="preserve">There are two different hypothesis that answers whether it makes sense to have all IQ measures in the same model. If </w:t>
      </w:r>
      <w:r w:rsidR="006227AD">
        <w:t xml:space="preserve">we assume that there is an underlying general intelligence factor, then we would assume that the IQ measures might be collinear. An alterative hypothesis is that there are </w:t>
      </w:r>
      <w:proofErr w:type="gramStart"/>
      <w:r w:rsidR="006227AD">
        <w:t>different types</w:t>
      </w:r>
      <w:proofErr w:type="gramEnd"/>
      <w:r w:rsidR="006227AD">
        <w:t xml:space="preserve"> of intelligences that might not be correlated, and therefore adding a new type of IQ to the model will always add new and valuable information.</w:t>
      </w:r>
    </w:p>
    <w:p w:rsidR="006227AD" w:rsidRPr="004424B9" w:rsidRDefault="006227AD" w:rsidP="004424B9">
      <w:r>
        <w:t>The issue with adding more predictors is that if they are collinear, it will make the beta-values uninterpretable. Thus, we can no longer say, for example, that each increase in verbal IQ will lead to a specific decrease in ADOS.</w:t>
      </w:r>
    </w:p>
    <w:p w:rsidR="00757331" w:rsidRDefault="0003460B" w:rsidP="00757331">
      <w:r>
        <w:t xml:space="preserve">To investigate whether </w:t>
      </w:r>
      <w:proofErr w:type="gramStart"/>
      <w:r>
        <w:t>different aspects</w:t>
      </w:r>
      <w:proofErr w:type="gramEnd"/>
      <w:r>
        <w:t xml:space="preserve"> of IQ account for different portions of variance, the data </w:t>
      </w:r>
      <w:r w:rsidR="008133C3">
        <w:t xml:space="preserve">for </w:t>
      </w:r>
      <w:proofErr w:type="spellStart"/>
      <w:r w:rsidR="008133C3">
        <w:t>verbalIQ</w:t>
      </w:r>
      <w:proofErr w:type="spellEnd"/>
      <w:r w:rsidR="008133C3">
        <w:t xml:space="preserve">, nonverbal IQ, social IQ and ADOS </w:t>
      </w:r>
      <w:r>
        <w:t>was first scaled an</w:t>
      </w:r>
      <w:r w:rsidR="00112684">
        <w:t>d then centered.</w:t>
      </w:r>
    </w:p>
    <w:p w:rsidR="009B4301" w:rsidRDefault="009B4301" w:rsidP="00757331">
      <w:r>
        <w:t xml:space="preserve">First we made a plot </w:t>
      </w:r>
      <w:r w:rsidR="00DA4177">
        <w:t xml:space="preserve">using the function </w:t>
      </w:r>
      <w:proofErr w:type="gramStart"/>
      <w:r w:rsidR="00DA4177">
        <w:t>pairs(</w:t>
      </w:r>
      <w:proofErr w:type="gramEnd"/>
      <w:r w:rsidR="00DA4177">
        <w:t xml:space="preserve">) </w:t>
      </w:r>
      <w:r>
        <w:t xml:space="preserve">to investigate visually the correlation between </w:t>
      </w:r>
      <w:r w:rsidR="00DA4177">
        <w:t>both the outcome, ADOS, and the three predictors, as well as the correlation between the three different predictors. The plot can be seen below.</w:t>
      </w:r>
    </w:p>
    <w:p w:rsidR="00DA4177" w:rsidRDefault="00DA4177" w:rsidP="00757331">
      <w:r>
        <w:rPr>
          <w:noProof/>
        </w:rPr>
        <w:lastRenderedPageBreak/>
        <w:drawing>
          <wp:inline distT="0" distB="0" distL="0" distR="0" wp14:anchorId="413CCE2E" wp14:editId="4E721EA6">
            <wp:extent cx="5243014" cy="36502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014" cy="3650296"/>
                    </a:xfrm>
                    <a:prstGeom prst="rect">
                      <a:avLst/>
                    </a:prstGeom>
                  </pic:spPr>
                </pic:pic>
              </a:graphicData>
            </a:graphic>
          </wp:inline>
        </w:drawing>
      </w:r>
    </w:p>
    <w:p w:rsidR="00E13DD5" w:rsidRDefault="006227AD" w:rsidP="00E13DD5">
      <w:r>
        <w:t xml:space="preserve">Now we will build a model to investigate </w:t>
      </w:r>
      <w:r w:rsidR="00E13DD5">
        <w:t>collinearity amongst the predictors. We will look at the correlation between beta values. We build a model predicting ADOS from verbal IQ, nonverbal IQ and social IQ.</w:t>
      </w:r>
    </w:p>
    <w:p w:rsidR="00E13DD5" w:rsidRDefault="00E13DD5" w:rsidP="00E13DD5">
      <w:r>
        <w:t>We will build the following model:</w:t>
      </w:r>
    </w:p>
    <w:p w:rsidR="00E13DD5" w:rsidRPr="0096473F" w:rsidRDefault="00E13DD5" w:rsidP="00E13DD5">
      <w:pPr>
        <w:rPr>
          <w:rFonts w:eastAsiaTheme="minorEastAsia"/>
        </w:rPr>
      </w:pPr>
      <m:oMathPara>
        <m:oMath>
          <m:r>
            <w:rPr>
              <w:rFonts w:ascii="Cambria Math" w:hAnsi="Cambria Math"/>
            </w:rPr>
            <m:t>ADO</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σ</m:t>
              </m:r>
            </m:e>
          </m:d>
        </m:oMath>
      </m:oMathPara>
    </w:p>
    <w:p w:rsidR="00E13DD5" w:rsidRPr="00E13DD5" w:rsidRDefault="00E13DD5" w:rsidP="00E13D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=α+β</m:t>
          </m:r>
          <m:r>
            <w:rPr>
              <w:rFonts w:ascii="Cambria Math" w:eastAsiaTheme="minorEastAsia" w:hAnsi="Cambria Math"/>
            </w:rPr>
            <m:t>v</m:t>
          </m:r>
          <m:r>
            <w:rPr>
              <w:rFonts w:ascii="Cambria Math" w:eastAsiaTheme="minorEastAsia" w:hAnsi="Cambria Math"/>
            </w:rPr>
            <m:t>*verbalI</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non</m:t>
          </m:r>
          <m:r>
            <w:rPr>
              <w:rFonts w:ascii="Cambria Math" w:eastAsiaTheme="minorEastAsia" w:hAnsi="Cambria Math"/>
            </w:rPr>
            <m:t>verbalI</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social</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m:oMathPara>
    </w:p>
    <w:p w:rsidR="00E13DD5" w:rsidRDefault="00E13DD5" w:rsidP="00E13DD5"/>
    <w:p w:rsidR="00E13DD5" w:rsidRPr="00E13DD5" w:rsidRDefault="00E13DD5" w:rsidP="00E13DD5">
      <w:r>
        <w:t>As we have now scaled and center</w:t>
      </w:r>
      <w:r>
        <w:t xml:space="preserve">ed the data, our priors will also be different from above. </w:t>
      </w:r>
      <m:oMath>
        <m:r>
          <w:rPr>
            <w:rFonts w:ascii="Cambria Math" w:hAnsi="Cambria Math"/>
          </w:rPr>
          <m:t>α</m:t>
        </m:r>
      </m:oMath>
      <w:r>
        <w:t xml:space="preserve"> will now be centered around zero and we assume a standard deviation of 2.</w:t>
      </w:r>
    </w:p>
    <w:p w:rsidR="00E13DD5" w:rsidRPr="00E13DD5" w:rsidRDefault="00E13DD5" w:rsidP="00E13DD5">
      <w:pPr>
        <w:rPr>
          <w:rFonts w:eastAsiaTheme="minorEastAsia"/>
        </w:rPr>
      </w:pPr>
      <m:oMathPara>
        <m:oMath>
          <m:r>
            <w:rPr>
              <w:rFonts w:ascii="Cambria Math" w:eastAsiaTheme="minorEastAsia" w:hAnsi="Cambria Math"/>
            </w:rPr>
            <m:t>α ~ normal(0,</m:t>
          </m:r>
          <m:r>
            <w:rPr>
              <w:rFonts w:ascii="Cambria Math" w:eastAsiaTheme="minorEastAsia" w:hAnsi="Cambria Math"/>
            </w:rPr>
            <m:t>2</m:t>
          </m:r>
          <m:r>
            <w:rPr>
              <w:rFonts w:ascii="Cambria Math" w:eastAsiaTheme="minorEastAsia" w:hAnsi="Cambria Math"/>
            </w:rPr>
            <m:t>)</m:t>
          </m:r>
        </m:oMath>
      </m:oMathPara>
    </w:p>
    <w:p w:rsidR="00E13DD5" w:rsidRPr="0096473F" w:rsidRDefault="00E13DD5" w:rsidP="00E13DD5">
      <w:pPr>
        <w:rPr>
          <w:rFonts w:eastAsiaTheme="minorEastAsia"/>
        </w:rPr>
      </w:pPr>
      <m:oMath>
        <m:r>
          <w:rPr>
            <w:rFonts w:ascii="Cambria Math" w:eastAsiaTheme="minorEastAsia" w:hAnsi="Cambria Math"/>
          </w:rPr>
          <m:t>βv</m:t>
        </m:r>
      </m:oMath>
      <w:r>
        <w:rPr>
          <w:rFonts w:eastAsiaTheme="minorEastAsia"/>
        </w:rPr>
        <w:t xml:space="preserve"> will be a normal distribution centered around 0 with a standard deviation of 1. We center it around zero as we don’t know anything about the correlation between verbal IQ and ADOS now that we add the other predictors as well. The same goes for</w:t>
      </w:r>
      <w:r w:rsidR="009A1034">
        <w:rPr>
          <w:rFonts w:eastAsiaTheme="minorEastAsia"/>
        </w:rPr>
        <w:t xml:space="preserve"> </w:t>
      </w:r>
      <m:oMath>
        <m:r>
          <w:rPr>
            <w:rFonts w:ascii="Cambria Math" w:eastAsiaTheme="minorEastAsia" w:hAnsi="Cambria Math"/>
          </w:rPr>
          <m:t>βn</m:t>
        </m:r>
      </m:oMath>
      <w:r w:rsidR="009A1034">
        <w:rPr>
          <w:rFonts w:eastAsiaTheme="minorEastAsia"/>
        </w:rPr>
        <w:t xml:space="preserve"> and </w:t>
      </w:r>
      <m:oMath>
        <m:r>
          <w:rPr>
            <w:rFonts w:ascii="Cambria Math" w:eastAsiaTheme="minorEastAsia" w:hAnsi="Cambria Math"/>
          </w:rPr>
          <m:t>βs</m:t>
        </m:r>
      </m:oMath>
      <w:r w:rsidR="009A1034">
        <w:rPr>
          <w:rFonts w:eastAsiaTheme="minorEastAsia"/>
        </w:rPr>
        <w:t>.</w:t>
      </w:r>
    </w:p>
    <w:p w:rsidR="00E13DD5" w:rsidRPr="00E13DD5" w:rsidRDefault="00E13DD5" w:rsidP="00E13DD5">
      <w:pPr>
        <w:rPr>
          <w:rFonts w:eastAsiaTheme="minorEastAsia"/>
        </w:rPr>
      </w:pPr>
      <m:oMathPara>
        <m:oMath>
          <m:r>
            <w:rPr>
              <w:rFonts w:ascii="Cambria Math" w:eastAsiaTheme="minorEastAsia" w:hAnsi="Cambria Math"/>
            </w:rPr>
            <m:t>β</m:t>
          </m:r>
          <m:r>
            <w:rPr>
              <w:rFonts w:ascii="Cambria Math" w:eastAsiaTheme="minorEastAsia" w:hAnsi="Cambria Math"/>
            </w:rPr>
            <m:t>v</m:t>
          </m:r>
          <m:r>
            <w:rPr>
              <w:rFonts w:ascii="Cambria Math" w:eastAsiaTheme="minorEastAsia" w:hAnsi="Cambria Math"/>
            </w:rPr>
            <m:t xml:space="preserve"> ~ normal</m:t>
          </m:r>
          <m:d>
            <m:dPr>
              <m:ctrlPr>
                <w:rPr>
                  <w:rFonts w:ascii="Cambria Math" w:eastAsiaTheme="minorEastAsia" w:hAnsi="Cambria Math"/>
                  <w:i/>
                </w:rPr>
              </m:ctrlPr>
            </m:dPr>
            <m:e>
              <m:r>
                <w:rPr>
                  <w:rFonts w:ascii="Cambria Math" w:eastAsiaTheme="minorEastAsia" w:hAnsi="Cambria Math"/>
                </w:rPr>
                <m:t>0,1</m:t>
              </m:r>
            </m:e>
          </m:d>
        </m:oMath>
      </m:oMathPara>
    </w:p>
    <w:p w:rsidR="00E13DD5" w:rsidRPr="00E13DD5" w:rsidRDefault="00E13DD5" w:rsidP="00E13DD5">
      <w:pPr>
        <w:rPr>
          <w:rFonts w:eastAsiaTheme="minorEastAsia"/>
        </w:rPr>
      </w:pPr>
      <m:oMathPara>
        <m:oMath>
          <m:r>
            <w:rPr>
              <w:rFonts w:ascii="Cambria Math" w:eastAsiaTheme="minorEastAsia" w:hAnsi="Cambria Math"/>
            </w:rPr>
            <m:t>β</m:t>
          </m:r>
          <m:r>
            <w:rPr>
              <w:rFonts w:ascii="Cambria Math" w:eastAsiaTheme="minorEastAsia" w:hAnsi="Cambria Math"/>
            </w:rPr>
            <m:t>n</m:t>
          </m:r>
          <m:r>
            <w:rPr>
              <w:rFonts w:ascii="Cambria Math" w:eastAsiaTheme="minorEastAsia" w:hAnsi="Cambria Math"/>
            </w:rPr>
            <m:t xml:space="preserve"> ~ normal</m:t>
          </m:r>
          <m:d>
            <m:dPr>
              <m:ctrlPr>
                <w:rPr>
                  <w:rFonts w:ascii="Cambria Math" w:eastAsiaTheme="minorEastAsia" w:hAnsi="Cambria Math"/>
                  <w:i/>
                </w:rPr>
              </m:ctrlPr>
            </m:dPr>
            <m:e>
              <m:r>
                <w:rPr>
                  <w:rFonts w:ascii="Cambria Math" w:eastAsiaTheme="minorEastAsia" w:hAnsi="Cambria Math"/>
                </w:rPr>
                <m:t>0,1</m:t>
              </m:r>
            </m:e>
          </m:d>
        </m:oMath>
      </m:oMathPara>
    </w:p>
    <w:p w:rsidR="00E13DD5" w:rsidRPr="009A1034" w:rsidRDefault="00E13DD5" w:rsidP="00E13DD5">
      <w:pPr>
        <w:rPr>
          <w:rFonts w:eastAsiaTheme="minorEastAsia"/>
        </w:rPr>
      </w:pPr>
      <m:oMathPara>
        <m:oMath>
          <m:r>
            <w:rPr>
              <w:rFonts w:ascii="Cambria Math" w:eastAsiaTheme="minorEastAsia" w:hAnsi="Cambria Math"/>
            </w:rPr>
            <m:t>β</m:t>
          </m:r>
          <m:r>
            <w:rPr>
              <w:rFonts w:ascii="Cambria Math" w:eastAsiaTheme="minorEastAsia" w:hAnsi="Cambria Math"/>
            </w:rPr>
            <m:t>s</m:t>
          </m:r>
          <m:r>
            <w:rPr>
              <w:rFonts w:ascii="Cambria Math" w:eastAsiaTheme="minorEastAsia" w:hAnsi="Cambria Math"/>
            </w:rPr>
            <m:t xml:space="preserve"> ~ normal</m:t>
          </m:r>
          <m:d>
            <m:dPr>
              <m:ctrlPr>
                <w:rPr>
                  <w:rFonts w:ascii="Cambria Math" w:eastAsiaTheme="minorEastAsia" w:hAnsi="Cambria Math"/>
                  <w:i/>
                </w:rPr>
              </m:ctrlPr>
            </m:dPr>
            <m:e>
              <m:r>
                <w:rPr>
                  <w:rFonts w:ascii="Cambria Math" w:eastAsiaTheme="minorEastAsia" w:hAnsi="Cambria Math"/>
                </w:rPr>
                <m:t>0,1</m:t>
              </m:r>
            </m:e>
          </m:d>
        </m:oMath>
      </m:oMathPara>
    </w:p>
    <w:p w:rsidR="009A1034" w:rsidRPr="00E13DD5" w:rsidRDefault="009A1034" w:rsidP="00E13DD5">
      <w:pPr>
        <w:rPr>
          <w:rFonts w:eastAsiaTheme="minorEastAsia"/>
        </w:rPr>
      </w:pPr>
      <w:r>
        <w:rPr>
          <w:rFonts w:eastAsiaTheme="minorEastAsia"/>
        </w:rPr>
        <w:t>Sigma is a uniform distribution between 0 and 10.</w:t>
      </w:r>
    </w:p>
    <w:p w:rsidR="00E13DD5" w:rsidRPr="00AD0B91" w:rsidRDefault="00E13DD5" w:rsidP="00E13DD5">
      <w:pPr>
        <w:rPr>
          <w:rFonts w:eastAsiaTheme="minorEastAsia"/>
        </w:rPr>
      </w:pPr>
      <m:oMathPara>
        <m:oMath>
          <m:r>
            <w:rPr>
              <w:rFonts w:ascii="Cambria Math" w:eastAsiaTheme="minorEastAsia" w:hAnsi="Cambria Math"/>
            </w:rPr>
            <w:lastRenderedPageBreak/>
            <m:t>σ ~ uniform(</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10</m:t>
          </m:r>
          <m:r>
            <w:rPr>
              <w:rFonts w:ascii="Cambria Math" w:eastAsiaTheme="minorEastAsia" w:hAnsi="Cambria Math"/>
            </w:rPr>
            <m:t xml:space="preserve">) </m:t>
          </m:r>
        </m:oMath>
      </m:oMathPara>
    </w:p>
    <w:p w:rsidR="00E13DD5" w:rsidRDefault="009A1034" w:rsidP="00757331">
      <w:r>
        <w:t xml:space="preserve">By plotting the beta-values and their 89% intervals we get the plot that can be seen below. As it can be seen, the beta-value for non-verbal IQ overlaps with zero. Even though, it just slightly overlaps with zero, it seems that there is not necessarily any additional </w:t>
      </w:r>
      <w:r w:rsidR="00086243">
        <w:t>explanatory value</w:t>
      </w:r>
      <w:r>
        <w:t xml:space="preserve"> added from including nonverbal IQ as a predictor, when we already have </w:t>
      </w:r>
      <w:r w:rsidR="00086243">
        <w:t>verbal IQ and social IQ as predictors.</w:t>
      </w:r>
    </w:p>
    <w:p w:rsidR="009A1034" w:rsidRDefault="009A1034" w:rsidP="00757331">
      <w:r>
        <w:rPr>
          <w:noProof/>
        </w:rPr>
        <w:drawing>
          <wp:inline distT="0" distB="0" distL="0" distR="0" wp14:anchorId="3486F3C1" wp14:editId="2F40DA1D">
            <wp:extent cx="5243014" cy="36502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014" cy="3650296"/>
                    </a:xfrm>
                    <a:prstGeom prst="rect">
                      <a:avLst/>
                    </a:prstGeom>
                  </pic:spPr>
                </pic:pic>
              </a:graphicData>
            </a:graphic>
          </wp:inline>
        </w:drawing>
      </w:r>
    </w:p>
    <w:p w:rsidR="007655AE" w:rsidRDefault="007655AE" w:rsidP="00757331">
      <w:r>
        <w:t>The correlation between the different predictors was also found.</w:t>
      </w:r>
    </w:p>
    <w:p w:rsidR="007655AE" w:rsidRDefault="007655AE" w:rsidP="007655AE">
      <w:pPr>
        <w:pStyle w:val="ListParagraph"/>
        <w:numPr>
          <w:ilvl w:val="0"/>
          <w:numId w:val="1"/>
        </w:numPr>
      </w:pPr>
      <w:r>
        <w:t xml:space="preserve">The correlation between verbal IQ and non-verbal IQ was found to be -0.60. </w:t>
      </w:r>
    </w:p>
    <w:p w:rsidR="007655AE" w:rsidRDefault="007655AE" w:rsidP="007655AE">
      <w:pPr>
        <w:pStyle w:val="ListParagraph"/>
        <w:numPr>
          <w:ilvl w:val="0"/>
          <w:numId w:val="1"/>
        </w:numPr>
      </w:pPr>
      <w:r>
        <w:t>The correlation between verbal IQ and social IQ was found to be -0.52.</w:t>
      </w:r>
    </w:p>
    <w:p w:rsidR="007655AE" w:rsidRDefault="007655AE" w:rsidP="007655AE">
      <w:pPr>
        <w:pStyle w:val="ListParagraph"/>
        <w:numPr>
          <w:ilvl w:val="0"/>
          <w:numId w:val="1"/>
        </w:numPr>
      </w:pPr>
      <w:r>
        <w:t>The correlation between social IQ and non-verbal IQ was found to be 0.06.</w:t>
      </w:r>
    </w:p>
    <w:p w:rsidR="007655AE" w:rsidRDefault="007655AE" w:rsidP="007655AE">
      <w:r>
        <w:t>Thus, verbal IQ seems to be correlated with both non-verbal IQ and social IQ. However, social IQ and non-verbal IQ does not seem to be correlated with each other.</w:t>
      </w:r>
    </w:p>
    <w:p w:rsidR="007655AE" w:rsidRDefault="007655AE" w:rsidP="007655AE">
      <w:r>
        <w:t>Thus, it seems that non-verbal IQ does not explain a different portion of variance if we already have verbal IQ and social IQ. And even though verbal IQ and Social IQ is somewhat correlated, there is still value in including both in our model.</w:t>
      </w:r>
    </w:p>
    <w:p w:rsidR="00086243" w:rsidRDefault="00086243" w:rsidP="00757331">
      <w:r>
        <w:t>We also plotted the data and the posterior distribution together again, to see if the posterior distribution matches the data. It fits more or less, however there is some variance in the data not captured by the posterior distribution</w:t>
      </w:r>
      <w:proofErr w:type="gramStart"/>
      <w:r>
        <w:t xml:space="preserve">. </w:t>
      </w:r>
      <w:proofErr w:type="gramEnd"/>
      <w:r>
        <w:t>This is due to our assumption of the data as a Gaussian distribution.:</w:t>
      </w:r>
    </w:p>
    <w:p w:rsidR="00086243" w:rsidRDefault="00086243" w:rsidP="00757331">
      <w:r>
        <w:rPr>
          <w:noProof/>
        </w:rPr>
        <w:lastRenderedPageBreak/>
        <w:drawing>
          <wp:inline distT="0" distB="0" distL="0" distR="0" wp14:anchorId="20886146" wp14:editId="42D182E5">
            <wp:extent cx="5243014" cy="36502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14" cy="3650296"/>
                    </a:xfrm>
                    <a:prstGeom prst="rect">
                      <a:avLst/>
                    </a:prstGeom>
                  </pic:spPr>
                </pic:pic>
              </a:graphicData>
            </a:graphic>
          </wp:inline>
        </w:drawing>
      </w:r>
    </w:p>
    <w:p w:rsidR="00757331" w:rsidRPr="00757331" w:rsidRDefault="00757331" w:rsidP="00757331">
      <w:pPr>
        <w:pStyle w:val="Heading1"/>
      </w:pPr>
      <w:r>
        <w:t xml:space="preserve">Question 3) </w:t>
      </w:r>
      <w:bookmarkStart w:id="0" w:name="_GoBack"/>
      <w:bookmarkEnd w:id="0"/>
    </w:p>
    <w:sectPr w:rsidR="00757331" w:rsidRPr="00757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400AA"/>
    <w:multiLevelType w:val="hybridMultilevel"/>
    <w:tmpl w:val="FE2A5348"/>
    <w:lvl w:ilvl="0" w:tplc="1DFA8162">
      <w:start w:val="2"/>
      <w:numFmt w:val="bullet"/>
      <w:lvlText w:val="-"/>
      <w:lvlJc w:val="left"/>
      <w:pPr>
        <w:ind w:left="720" w:hanging="360"/>
      </w:pPr>
      <w:rPr>
        <w:rFonts w:ascii="Calibri" w:eastAsia="Batang"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F2"/>
    <w:rsid w:val="0000081B"/>
    <w:rsid w:val="0000099E"/>
    <w:rsid w:val="0001695B"/>
    <w:rsid w:val="00024B37"/>
    <w:rsid w:val="00024F5E"/>
    <w:rsid w:val="00027B18"/>
    <w:rsid w:val="000312DF"/>
    <w:rsid w:val="00032909"/>
    <w:rsid w:val="0003460B"/>
    <w:rsid w:val="00034A13"/>
    <w:rsid w:val="00036D76"/>
    <w:rsid w:val="00037ABC"/>
    <w:rsid w:val="00037EB0"/>
    <w:rsid w:val="00052609"/>
    <w:rsid w:val="0005434B"/>
    <w:rsid w:val="00057974"/>
    <w:rsid w:val="00057C61"/>
    <w:rsid w:val="00062705"/>
    <w:rsid w:val="00063793"/>
    <w:rsid w:val="00071818"/>
    <w:rsid w:val="0007527A"/>
    <w:rsid w:val="0007755C"/>
    <w:rsid w:val="000829E5"/>
    <w:rsid w:val="00086243"/>
    <w:rsid w:val="00086C8E"/>
    <w:rsid w:val="00097A6B"/>
    <w:rsid w:val="000A6354"/>
    <w:rsid w:val="000A74E8"/>
    <w:rsid w:val="000B07C2"/>
    <w:rsid w:val="000B1961"/>
    <w:rsid w:val="000C2155"/>
    <w:rsid w:val="000D55DF"/>
    <w:rsid w:val="000E29C2"/>
    <w:rsid w:val="000E5CEC"/>
    <w:rsid w:val="000E6951"/>
    <w:rsid w:val="000F0AF6"/>
    <w:rsid w:val="000F1254"/>
    <w:rsid w:val="000F2232"/>
    <w:rsid w:val="001008AB"/>
    <w:rsid w:val="00102EBB"/>
    <w:rsid w:val="001060BD"/>
    <w:rsid w:val="00111993"/>
    <w:rsid w:val="00112684"/>
    <w:rsid w:val="0011503F"/>
    <w:rsid w:val="0012015F"/>
    <w:rsid w:val="00125622"/>
    <w:rsid w:val="001371AF"/>
    <w:rsid w:val="00140ED3"/>
    <w:rsid w:val="00147D2B"/>
    <w:rsid w:val="00152377"/>
    <w:rsid w:val="00157B40"/>
    <w:rsid w:val="00164434"/>
    <w:rsid w:val="00180853"/>
    <w:rsid w:val="00182DF5"/>
    <w:rsid w:val="00186DDA"/>
    <w:rsid w:val="0019343D"/>
    <w:rsid w:val="00195E12"/>
    <w:rsid w:val="001A10A2"/>
    <w:rsid w:val="001A25AE"/>
    <w:rsid w:val="001A37B6"/>
    <w:rsid w:val="001A52B3"/>
    <w:rsid w:val="001A64FD"/>
    <w:rsid w:val="001B088C"/>
    <w:rsid w:val="001B36E7"/>
    <w:rsid w:val="001B7D61"/>
    <w:rsid w:val="001D0B78"/>
    <w:rsid w:val="001D17A3"/>
    <w:rsid w:val="001D3B40"/>
    <w:rsid w:val="001D644C"/>
    <w:rsid w:val="001D7359"/>
    <w:rsid w:val="001D7AC3"/>
    <w:rsid w:val="001E1631"/>
    <w:rsid w:val="001E7FFE"/>
    <w:rsid w:val="001F5C92"/>
    <w:rsid w:val="00205388"/>
    <w:rsid w:val="0021539C"/>
    <w:rsid w:val="00226CAC"/>
    <w:rsid w:val="00254DB5"/>
    <w:rsid w:val="0026050C"/>
    <w:rsid w:val="0026407B"/>
    <w:rsid w:val="00265A75"/>
    <w:rsid w:val="00265D0D"/>
    <w:rsid w:val="00271E4C"/>
    <w:rsid w:val="00271E62"/>
    <w:rsid w:val="00273B53"/>
    <w:rsid w:val="00274052"/>
    <w:rsid w:val="0027674C"/>
    <w:rsid w:val="00283A0D"/>
    <w:rsid w:val="002853BB"/>
    <w:rsid w:val="002A2956"/>
    <w:rsid w:val="002A7F3D"/>
    <w:rsid w:val="002B5867"/>
    <w:rsid w:val="002B7716"/>
    <w:rsid w:val="002C721B"/>
    <w:rsid w:val="002D091C"/>
    <w:rsid w:val="002E5E67"/>
    <w:rsid w:val="002F0503"/>
    <w:rsid w:val="002F5254"/>
    <w:rsid w:val="002F65E6"/>
    <w:rsid w:val="002F6A60"/>
    <w:rsid w:val="002F754D"/>
    <w:rsid w:val="00312F90"/>
    <w:rsid w:val="00315302"/>
    <w:rsid w:val="0032029F"/>
    <w:rsid w:val="00323B58"/>
    <w:rsid w:val="00326632"/>
    <w:rsid w:val="00327084"/>
    <w:rsid w:val="00335D41"/>
    <w:rsid w:val="00341BDC"/>
    <w:rsid w:val="0034431C"/>
    <w:rsid w:val="003467E3"/>
    <w:rsid w:val="00346D6B"/>
    <w:rsid w:val="00354B49"/>
    <w:rsid w:val="00363B1C"/>
    <w:rsid w:val="00366651"/>
    <w:rsid w:val="003771BC"/>
    <w:rsid w:val="00377982"/>
    <w:rsid w:val="00382069"/>
    <w:rsid w:val="003874B6"/>
    <w:rsid w:val="00391E18"/>
    <w:rsid w:val="0039419F"/>
    <w:rsid w:val="00396F5C"/>
    <w:rsid w:val="003A7AA1"/>
    <w:rsid w:val="003B188B"/>
    <w:rsid w:val="003B2DAD"/>
    <w:rsid w:val="003B43C5"/>
    <w:rsid w:val="003B4F36"/>
    <w:rsid w:val="003C0003"/>
    <w:rsid w:val="003C1419"/>
    <w:rsid w:val="003C7581"/>
    <w:rsid w:val="003D4532"/>
    <w:rsid w:val="003E18C7"/>
    <w:rsid w:val="003E282F"/>
    <w:rsid w:val="003E5163"/>
    <w:rsid w:val="003E5EED"/>
    <w:rsid w:val="00401278"/>
    <w:rsid w:val="00404EBF"/>
    <w:rsid w:val="00414B27"/>
    <w:rsid w:val="004150EC"/>
    <w:rsid w:val="00415C2F"/>
    <w:rsid w:val="004221A2"/>
    <w:rsid w:val="004234B9"/>
    <w:rsid w:val="00431236"/>
    <w:rsid w:val="004351FD"/>
    <w:rsid w:val="00437B11"/>
    <w:rsid w:val="004424B9"/>
    <w:rsid w:val="004465A8"/>
    <w:rsid w:val="004620AF"/>
    <w:rsid w:val="00462BA3"/>
    <w:rsid w:val="004651DF"/>
    <w:rsid w:val="0046763A"/>
    <w:rsid w:val="00471A74"/>
    <w:rsid w:val="00471D96"/>
    <w:rsid w:val="004725FB"/>
    <w:rsid w:val="00473A5F"/>
    <w:rsid w:val="004800AE"/>
    <w:rsid w:val="0048269D"/>
    <w:rsid w:val="00483872"/>
    <w:rsid w:val="00483ADA"/>
    <w:rsid w:val="004A272A"/>
    <w:rsid w:val="004A3D89"/>
    <w:rsid w:val="004A61EF"/>
    <w:rsid w:val="004B5DA7"/>
    <w:rsid w:val="004B6887"/>
    <w:rsid w:val="004C046F"/>
    <w:rsid w:val="004C19CD"/>
    <w:rsid w:val="004C33A4"/>
    <w:rsid w:val="004C6B39"/>
    <w:rsid w:val="004C6D91"/>
    <w:rsid w:val="004D2A70"/>
    <w:rsid w:val="004E7595"/>
    <w:rsid w:val="004F32FC"/>
    <w:rsid w:val="00505F21"/>
    <w:rsid w:val="0051671C"/>
    <w:rsid w:val="00517304"/>
    <w:rsid w:val="0052176D"/>
    <w:rsid w:val="00521C99"/>
    <w:rsid w:val="00530162"/>
    <w:rsid w:val="00531DF2"/>
    <w:rsid w:val="00533395"/>
    <w:rsid w:val="00540895"/>
    <w:rsid w:val="00552F1C"/>
    <w:rsid w:val="00553A11"/>
    <w:rsid w:val="00557194"/>
    <w:rsid w:val="005575D1"/>
    <w:rsid w:val="005705A3"/>
    <w:rsid w:val="005844AE"/>
    <w:rsid w:val="005901A1"/>
    <w:rsid w:val="005A35C3"/>
    <w:rsid w:val="005A4458"/>
    <w:rsid w:val="005B626E"/>
    <w:rsid w:val="005B6F13"/>
    <w:rsid w:val="005C015F"/>
    <w:rsid w:val="005D2C0C"/>
    <w:rsid w:val="005E11CA"/>
    <w:rsid w:val="005E4F67"/>
    <w:rsid w:val="005E6230"/>
    <w:rsid w:val="005F2ACF"/>
    <w:rsid w:val="00600109"/>
    <w:rsid w:val="0060516C"/>
    <w:rsid w:val="006053D5"/>
    <w:rsid w:val="006130BF"/>
    <w:rsid w:val="00615F89"/>
    <w:rsid w:val="006227AD"/>
    <w:rsid w:val="00625079"/>
    <w:rsid w:val="00641580"/>
    <w:rsid w:val="00647035"/>
    <w:rsid w:val="00661AA7"/>
    <w:rsid w:val="0067487D"/>
    <w:rsid w:val="006824D4"/>
    <w:rsid w:val="00687C46"/>
    <w:rsid w:val="006913D8"/>
    <w:rsid w:val="0069199B"/>
    <w:rsid w:val="006965F9"/>
    <w:rsid w:val="006A4C55"/>
    <w:rsid w:val="006A5E27"/>
    <w:rsid w:val="006C020A"/>
    <w:rsid w:val="006D5933"/>
    <w:rsid w:val="006D771E"/>
    <w:rsid w:val="006D7819"/>
    <w:rsid w:val="006E4267"/>
    <w:rsid w:val="007009B6"/>
    <w:rsid w:val="00701225"/>
    <w:rsid w:val="00707FF3"/>
    <w:rsid w:val="00711262"/>
    <w:rsid w:val="00720A02"/>
    <w:rsid w:val="00727B63"/>
    <w:rsid w:val="00734662"/>
    <w:rsid w:val="0074514B"/>
    <w:rsid w:val="00750346"/>
    <w:rsid w:val="007506BF"/>
    <w:rsid w:val="00757331"/>
    <w:rsid w:val="007655AE"/>
    <w:rsid w:val="007703C4"/>
    <w:rsid w:val="00773C1B"/>
    <w:rsid w:val="0077777D"/>
    <w:rsid w:val="00781D15"/>
    <w:rsid w:val="00785B1E"/>
    <w:rsid w:val="007908DF"/>
    <w:rsid w:val="00793842"/>
    <w:rsid w:val="007B277A"/>
    <w:rsid w:val="007B6667"/>
    <w:rsid w:val="007C25B6"/>
    <w:rsid w:val="007C5FA3"/>
    <w:rsid w:val="007D39DC"/>
    <w:rsid w:val="007D6E46"/>
    <w:rsid w:val="007E13D0"/>
    <w:rsid w:val="007E698A"/>
    <w:rsid w:val="007E742F"/>
    <w:rsid w:val="007F60E4"/>
    <w:rsid w:val="007F72D0"/>
    <w:rsid w:val="0080703D"/>
    <w:rsid w:val="00811311"/>
    <w:rsid w:val="008133C3"/>
    <w:rsid w:val="00825022"/>
    <w:rsid w:val="0082727D"/>
    <w:rsid w:val="00830822"/>
    <w:rsid w:val="00830CF3"/>
    <w:rsid w:val="0083271B"/>
    <w:rsid w:val="00835B6C"/>
    <w:rsid w:val="00836CF8"/>
    <w:rsid w:val="0085340A"/>
    <w:rsid w:val="00870A22"/>
    <w:rsid w:val="00875207"/>
    <w:rsid w:val="00876853"/>
    <w:rsid w:val="00876A45"/>
    <w:rsid w:val="0088000F"/>
    <w:rsid w:val="0088523F"/>
    <w:rsid w:val="00885CBD"/>
    <w:rsid w:val="0088660A"/>
    <w:rsid w:val="00890B7D"/>
    <w:rsid w:val="00891C5C"/>
    <w:rsid w:val="00893D33"/>
    <w:rsid w:val="008B091E"/>
    <w:rsid w:val="008B1251"/>
    <w:rsid w:val="008B5953"/>
    <w:rsid w:val="008B700F"/>
    <w:rsid w:val="008B75A4"/>
    <w:rsid w:val="008B76C0"/>
    <w:rsid w:val="008D55DD"/>
    <w:rsid w:val="008E47F8"/>
    <w:rsid w:val="00905CED"/>
    <w:rsid w:val="00905D02"/>
    <w:rsid w:val="009124B3"/>
    <w:rsid w:val="00913012"/>
    <w:rsid w:val="00914C47"/>
    <w:rsid w:val="00924C1B"/>
    <w:rsid w:val="009333F6"/>
    <w:rsid w:val="00936493"/>
    <w:rsid w:val="00937CDF"/>
    <w:rsid w:val="00950B2D"/>
    <w:rsid w:val="00952430"/>
    <w:rsid w:val="00964442"/>
    <w:rsid w:val="0096473F"/>
    <w:rsid w:val="00965BCB"/>
    <w:rsid w:val="0096660F"/>
    <w:rsid w:val="00976315"/>
    <w:rsid w:val="009777AA"/>
    <w:rsid w:val="0098003B"/>
    <w:rsid w:val="00981380"/>
    <w:rsid w:val="009855A2"/>
    <w:rsid w:val="009A1034"/>
    <w:rsid w:val="009A5C28"/>
    <w:rsid w:val="009B4301"/>
    <w:rsid w:val="009B7FA8"/>
    <w:rsid w:val="009C2BFA"/>
    <w:rsid w:val="009C4489"/>
    <w:rsid w:val="009C5F12"/>
    <w:rsid w:val="009D022B"/>
    <w:rsid w:val="009D7127"/>
    <w:rsid w:val="009D7E7E"/>
    <w:rsid w:val="009E1351"/>
    <w:rsid w:val="009E717D"/>
    <w:rsid w:val="00A00CDB"/>
    <w:rsid w:val="00A02DEE"/>
    <w:rsid w:val="00A02F25"/>
    <w:rsid w:val="00A163F6"/>
    <w:rsid w:val="00A16514"/>
    <w:rsid w:val="00A22281"/>
    <w:rsid w:val="00A3321B"/>
    <w:rsid w:val="00A340A9"/>
    <w:rsid w:val="00A426C7"/>
    <w:rsid w:val="00A464C0"/>
    <w:rsid w:val="00A608F2"/>
    <w:rsid w:val="00A707E4"/>
    <w:rsid w:val="00A9435B"/>
    <w:rsid w:val="00A95884"/>
    <w:rsid w:val="00AA0641"/>
    <w:rsid w:val="00AA36CC"/>
    <w:rsid w:val="00AA6DE1"/>
    <w:rsid w:val="00AB3BD1"/>
    <w:rsid w:val="00AB4B1E"/>
    <w:rsid w:val="00AC5822"/>
    <w:rsid w:val="00AC639A"/>
    <w:rsid w:val="00AD0B91"/>
    <w:rsid w:val="00AD25E8"/>
    <w:rsid w:val="00AD5207"/>
    <w:rsid w:val="00AE1B49"/>
    <w:rsid w:val="00AF60F7"/>
    <w:rsid w:val="00B0575E"/>
    <w:rsid w:val="00B17DE8"/>
    <w:rsid w:val="00B236FD"/>
    <w:rsid w:val="00B24F6A"/>
    <w:rsid w:val="00B257C0"/>
    <w:rsid w:val="00B33E2D"/>
    <w:rsid w:val="00B40E3D"/>
    <w:rsid w:val="00B4153D"/>
    <w:rsid w:val="00B446BE"/>
    <w:rsid w:val="00B46E0E"/>
    <w:rsid w:val="00B5021F"/>
    <w:rsid w:val="00B54841"/>
    <w:rsid w:val="00B577FF"/>
    <w:rsid w:val="00B60675"/>
    <w:rsid w:val="00B62A2C"/>
    <w:rsid w:val="00B6362E"/>
    <w:rsid w:val="00B65ED2"/>
    <w:rsid w:val="00B7644B"/>
    <w:rsid w:val="00B93300"/>
    <w:rsid w:val="00B939F1"/>
    <w:rsid w:val="00B95087"/>
    <w:rsid w:val="00BA7D6F"/>
    <w:rsid w:val="00BC3B17"/>
    <w:rsid w:val="00BD1D62"/>
    <w:rsid w:val="00BD1FD3"/>
    <w:rsid w:val="00BD2295"/>
    <w:rsid w:val="00BD4309"/>
    <w:rsid w:val="00BD46B0"/>
    <w:rsid w:val="00BF0BEC"/>
    <w:rsid w:val="00BF1AA9"/>
    <w:rsid w:val="00BF66EE"/>
    <w:rsid w:val="00C1544B"/>
    <w:rsid w:val="00C2420E"/>
    <w:rsid w:val="00C305D2"/>
    <w:rsid w:val="00C37413"/>
    <w:rsid w:val="00C41419"/>
    <w:rsid w:val="00C42270"/>
    <w:rsid w:val="00C46927"/>
    <w:rsid w:val="00C47640"/>
    <w:rsid w:val="00C478D4"/>
    <w:rsid w:val="00C51468"/>
    <w:rsid w:val="00C63866"/>
    <w:rsid w:val="00C70666"/>
    <w:rsid w:val="00C70838"/>
    <w:rsid w:val="00C72207"/>
    <w:rsid w:val="00C7301F"/>
    <w:rsid w:val="00C749DB"/>
    <w:rsid w:val="00C76824"/>
    <w:rsid w:val="00C80323"/>
    <w:rsid w:val="00C85ACD"/>
    <w:rsid w:val="00C90858"/>
    <w:rsid w:val="00C90A68"/>
    <w:rsid w:val="00C923FA"/>
    <w:rsid w:val="00C92F08"/>
    <w:rsid w:val="00C942C0"/>
    <w:rsid w:val="00CA2DCA"/>
    <w:rsid w:val="00CA3F8C"/>
    <w:rsid w:val="00CA542A"/>
    <w:rsid w:val="00CA6293"/>
    <w:rsid w:val="00CB031D"/>
    <w:rsid w:val="00CC0A6C"/>
    <w:rsid w:val="00CC491B"/>
    <w:rsid w:val="00CD16A3"/>
    <w:rsid w:val="00CD5534"/>
    <w:rsid w:val="00CD5CEB"/>
    <w:rsid w:val="00CE3D01"/>
    <w:rsid w:val="00CE6E89"/>
    <w:rsid w:val="00CF216C"/>
    <w:rsid w:val="00CF25E4"/>
    <w:rsid w:val="00CF5038"/>
    <w:rsid w:val="00D04088"/>
    <w:rsid w:val="00D14681"/>
    <w:rsid w:val="00D20EB5"/>
    <w:rsid w:val="00D27D23"/>
    <w:rsid w:val="00D34B30"/>
    <w:rsid w:val="00D34EB6"/>
    <w:rsid w:val="00D37BA8"/>
    <w:rsid w:val="00D40B81"/>
    <w:rsid w:val="00D451FB"/>
    <w:rsid w:val="00D466EE"/>
    <w:rsid w:val="00D50072"/>
    <w:rsid w:val="00D5175E"/>
    <w:rsid w:val="00D54348"/>
    <w:rsid w:val="00D61F26"/>
    <w:rsid w:val="00D6683A"/>
    <w:rsid w:val="00D66A14"/>
    <w:rsid w:val="00D721D1"/>
    <w:rsid w:val="00D72920"/>
    <w:rsid w:val="00D85E88"/>
    <w:rsid w:val="00D95AFF"/>
    <w:rsid w:val="00D97865"/>
    <w:rsid w:val="00D97883"/>
    <w:rsid w:val="00DA120F"/>
    <w:rsid w:val="00DA1693"/>
    <w:rsid w:val="00DA2ECF"/>
    <w:rsid w:val="00DA4177"/>
    <w:rsid w:val="00DA5529"/>
    <w:rsid w:val="00DB06F6"/>
    <w:rsid w:val="00DD6ACF"/>
    <w:rsid w:val="00DE3B4E"/>
    <w:rsid w:val="00DE400C"/>
    <w:rsid w:val="00DF0AFA"/>
    <w:rsid w:val="00DF5EE2"/>
    <w:rsid w:val="00E071C5"/>
    <w:rsid w:val="00E11E4A"/>
    <w:rsid w:val="00E1269A"/>
    <w:rsid w:val="00E13DD5"/>
    <w:rsid w:val="00E161D1"/>
    <w:rsid w:val="00E1622D"/>
    <w:rsid w:val="00E16337"/>
    <w:rsid w:val="00E16F25"/>
    <w:rsid w:val="00E367B0"/>
    <w:rsid w:val="00E3775F"/>
    <w:rsid w:val="00E40B6F"/>
    <w:rsid w:val="00E478F1"/>
    <w:rsid w:val="00E556A3"/>
    <w:rsid w:val="00E603ED"/>
    <w:rsid w:val="00E65B03"/>
    <w:rsid w:val="00E763F3"/>
    <w:rsid w:val="00E81252"/>
    <w:rsid w:val="00E9421B"/>
    <w:rsid w:val="00EA2E58"/>
    <w:rsid w:val="00EA5795"/>
    <w:rsid w:val="00EB384C"/>
    <w:rsid w:val="00EB3BD3"/>
    <w:rsid w:val="00EB7B36"/>
    <w:rsid w:val="00EB7E35"/>
    <w:rsid w:val="00EC08CC"/>
    <w:rsid w:val="00EC303D"/>
    <w:rsid w:val="00EC52C7"/>
    <w:rsid w:val="00ED600A"/>
    <w:rsid w:val="00EE2161"/>
    <w:rsid w:val="00EE635E"/>
    <w:rsid w:val="00EE643F"/>
    <w:rsid w:val="00EE7694"/>
    <w:rsid w:val="00EF2A4D"/>
    <w:rsid w:val="00EF302C"/>
    <w:rsid w:val="00F0135D"/>
    <w:rsid w:val="00F15DAB"/>
    <w:rsid w:val="00F22515"/>
    <w:rsid w:val="00F24AB7"/>
    <w:rsid w:val="00F26724"/>
    <w:rsid w:val="00F30032"/>
    <w:rsid w:val="00F4118F"/>
    <w:rsid w:val="00F50AE2"/>
    <w:rsid w:val="00F50C41"/>
    <w:rsid w:val="00F51A5E"/>
    <w:rsid w:val="00F5364A"/>
    <w:rsid w:val="00F537D6"/>
    <w:rsid w:val="00F5471A"/>
    <w:rsid w:val="00F55F08"/>
    <w:rsid w:val="00F56CEB"/>
    <w:rsid w:val="00F57D0D"/>
    <w:rsid w:val="00F611B0"/>
    <w:rsid w:val="00F627B4"/>
    <w:rsid w:val="00F64A35"/>
    <w:rsid w:val="00F72632"/>
    <w:rsid w:val="00F77E6B"/>
    <w:rsid w:val="00F80025"/>
    <w:rsid w:val="00F83A40"/>
    <w:rsid w:val="00F85B55"/>
    <w:rsid w:val="00F87879"/>
    <w:rsid w:val="00F87B3B"/>
    <w:rsid w:val="00F9084D"/>
    <w:rsid w:val="00F9117A"/>
    <w:rsid w:val="00F97514"/>
    <w:rsid w:val="00FB2358"/>
    <w:rsid w:val="00FB2ADF"/>
    <w:rsid w:val="00FB33DF"/>
    <w:rsid w:val="00FD032E"/>
    <w:rsid w:val="00FD2F3A"/>
    <w:rsid w:val="00FD393B"/>
    <w:rsid w:val="00FD3990"/>
    <w:rsid w:val="00FE14D9"/>
    <w:rsid w:val="00FE19E4"/>
    <w:rsid w:val="00FE7BD8"/>
    <w:rsid w:val="00FF0DEF"/>
    <w:rsid w:val="00FF7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183F"/>
  <w15:chartTrackingRefBased/>
  <w15:docId w15:val="{EDF0BF92-FB3D-4854-81A3-FE869751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8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8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3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75207"/>
    <w:rPr>
      <w:color w:val="808080"/>
    </w:rPr>
  </w:style>
  <w:style w:type="table" w:styleId="TableGrid">
    <w:name w:val="Table Grid"/>
    <w:basedOn w:val="TableNormal"/>
    <w:uiPriority w:val="39"/>
    <w:rsid w:val="0060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4608</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Hillebrand Hansen</dc:creator>
  <cp:keywords/>
  <dc:description/>
  <cp:lastModifiedBy>Josephine Hillebrand Hansen</cp:lastModifiedBy>
  <cp:revision>1</cp:revision>
  <dcterms:created xsi:type="dcterms:W3CDTF">2018-03-16T10:10:00Z</dcterms:created>
  <dcterms:modified xsi:type="dcterms:W3CDTF">2018-03-19T14:58:00Z</dcterms:modified>
</cp:coreProperties>
</file>