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b/>
          <w:i w:val="0"/>
          <w:color w:val="1E2530"/>
          <w:sz w:val="48"/>
        </w:rPr>
        <w:t>ESPECIFICACIÓN DE REQUISITOS DE SOFTWARE</w:t>
      </w:r>
    </w:p>
    <w:p>
      <w:pPr>
        <w:spacing w:after="480"/>
        <w:jc w:val="center"/>
      </w:pPr>
      <w:r>
        <w:rPr>
          <w:b/>
          <w:i w:val="0"/>
          <w:color w:val="E8631A"/>
          <w:sz w:val="28"/>
        </w:rPr>
        <w:t>(ERS / SRS)</w:t>
      </w:r>
    </w:p>
    <w:p>
      <w:pPr>
        <w:spacing w:after="40"/>
        <w:jc w:val="center"/>
      </w:pPr>
      <w:r>
        <w:rPr>
          <w:b/>
          <w:i w:val="0"/>
          <w:color w:val="1E2530"/>
          <w:sz w:val="40"/>
        </w:rPr>
        <w:t>Sistema de Gestión de Inventario</w:t>
      </w:r>
    </w:p>
    <w:p>
      <w:pPr>
        <w:spacing w:after="800"/>
        <w:jc w:val="center"/>
      </w:pPr>
      <w:r>
        <w:rPr>
          <w:b w:val="0"/>
          <w:i w:val="0"/>
          <w:color w:val="5B6573"/>
          <w:sz w:val="26"/>
        </w:rPr>
        <w:t>JJ Congeminco — Líderes en Soluciones</w:t>
      </w:r>
    </w:p>
    <w:tbl>
      <w:tblPr>
        <w:tblStyle w:val="LightList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Sistema de inventario JJ Congeminco (web)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Plataforma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inventario.congeminco.com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Tipo de documento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Especificación de Requisitos (ingeniería inversa)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Estándar de referencia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Inspirado en IEEE 830 / ISO-IEC-IEEE 29148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Versión del documento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Junio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Estado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Línea base (baseline)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Confidencialidad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Uso interno</w:t>
            </w:r>
          </w:p>
        </w:tc>
      </w:tr>
    </w:tbl>
    <w:p/>
    <w:p/>
    <w:p/>
    <w:p/>
    <w:p/>
    <w:p/>
    <w:p>
      <w:pPr>
        <w:spacing w:after="120"/>
        <w:jc w:val="center"/>
      </w:pPr>
      <w:r>
        <w:rPr>
          <w:b w:val="0"/>
          <w:i/>
          <w:color w:val="5B6573"/>
          <w:sz w:val="19"/>
        </w:rPr>
        <w:t>Documento generado a partir del análisis del sistema en producción, reconstruyendo los requisitos funcionales y no funcionales como si se hubieran definido al inicio del proyecto.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631A"/>
          <w:sz w:val="34"/>
        </w:rPr>
        <w:t>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247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417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268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139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Jun 2026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Equipo de Proyecto</w:t>
            </w:r>
          </w:p>
        </w:tc>
        <w:tc>
          <w:tcPr>
            <w:tcW w:type="dxa" w:w="4139"/>
          </w:tcPr>
          <w:p>
            <w:r/>
            <w:r>
              <w:rPr>
                <w:sz w:val="19"/>
              </w:rPr>
              <w:t>Línea base. Reconstrucción de requisitos a partir del sistema implementado.</w:t>
            </w:r>
          </w:p>
        </w:tc>
      </w:tr>
    </w:tbl>
    <w:p/>
    <w:p>
      <w:pPr>
        <w:spacing w:after="120"/>
      </w:pPr>
      <w:r>
        <w:rPr>
          <w:b/>
          <w:i w:val="0"/>
          <w:color w:val="1E2530"/>
          <w:sz w:val="21"/>
        </w:rPr>
        <w:t>Aprobaciones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268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835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268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Firma</w:t>
            </w:r>
          </w:p>
        </w:tc>
        <w:tc>
          <w:tcPr>
            <w:tcW w:type="dxa" w:w="1701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Patrocinador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Responsable funcional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Líder técnico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E8631A"/>
          <w:sz w:val="34"/>
        </w:rPr>
        <w:t>Tabla de contenido</w:t>
      </w:r>
    </w:p>
    <w:p>
      <w:pPr>
        <w:spacing w:after="120"/>
      </w:pPr>
      <w:r>
        <w:rPr>
          <w:b w:val="0"/>
          <w:i/>
          <w:color w:val="5B6573"/>
          <w:sz w:val="18"/>
        </w:rPr>
        <w:t>Para actualizar: clic derecho sobre la tabla → «Actualizar campos» (o F9).</w:t>
      </w:r>
    </w:p>
    <w:p>
      <w:r>
        <w:fldChar w:fldCharType="begin"/>
        <w:instrText xml:space="preserve">TOC \o "1-3" \h \z \u</w:instrText>
        <w:fldChar w:fldCharType="separate"/>
        <w:t>Actualiza este campo para generar el índice.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631A"/>
          <w:sz w:val="34"/>
        </w:rPr>
        <w:t>1. Introducción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1.1 Propósito</w:t>
      </w:r>
    </w:p>
    <w:p>
      <w:pPr>
        <w:spacing w:after="120"/>
      </w:pPr>
      <w:r>
        <w:rPr>
          <w:b w:val="0"/>
          <w:i w:val="0"/>
          <w:sz w:val="21"/>
        </w:rPr>
        <w:t>Este documento especifica los requisitos funcionales y no funcionales del Sistema de Gestión de Inventario de JJ Congeminco (Contratistas Generales en Minería y Construcción). Define qué debe hacer el sistema, las reglas de negocio que debe cumplir y las cualidades que debe satisfacer (seguridad, rendimiento, usabilidad, entre otras). Sirve como acuerdo entre los interesados y como base para diseño, construcción y pruebas.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1.2 Alcance del producto</w:t>
      </w:r>
    </w:p>
    <w:p>
      <w:pPr>
        <w:spacing w:after="120"/>
      </w:pPr>
      <w:r>
        <w:rPr>
          <w:b w:val="0"/>
          <w:i w:val="0"/>
          <w:sz w:val="21"/>
        </w:rPr>
        <w:t>El sistema centraliza el control de inventario de materiales, repuestos e insumos de la empresa, eliminando los registros dispersos en hojas de cálculo. Permite administrar un catálogo de productos, registrar movimientos (entradas, salidas, transferencias, existencias iniciales y ajustes) en múltiples almacenes, gestionar requerimientos de materiales con un flujo de aprobación, administrar órdenes de mantenimiento de vehículos y equipos con consumo de repuestos, generar reportes valorizados y de movimientos, e importar datos de forma masiva desde Excel.</w:t>
      </w:r>
    </w:p>
    <w:p>
      <w:pPr>
        <w:spacing w:after="120"/>
      </w:pPr>
      <w:r>
        <w:rPr>
          <w:b w:val="0"/>
          <w:i/>
          <w:color w:val="5B6573"/>
          <w:sz w:val="21"/>
        </w:rPr>
        <w:t>Fuera del alcance de esta línea base: facturación electrónica, integración contable externa, módulo de compras/órdenes de compra formales y aplicación móvil nativa (el sistema web es responsive).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1.3 Definiciones, acrónimos y abreviaturas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551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6520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Definición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SKU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Código único interno que identifica a un producto.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Stock mínimo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Umbral de existencias por debajo del cual se alerta para reabastecer.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Costo promedio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Costo promedio ponderado móvil del producto (criterio NIC 2).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Kardex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Historial cronológico de movimientos de un producto con saldo corrido.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Ledger (libro mayor)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Registro de movimientos append-only e inmutable; fuente de verdad del stock.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Saldo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Existencia actual calculada por producto y ubicación; se almacena en caché.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Ubicación / Almacén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Lugar físico donde se guarda el stock (almacén central, proyecto, otro).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Requerimiento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Solicitud formal de materiales asociada a un equipo o vehículo.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OT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Orden de Trabajo de mantenimiento sobre un vehículo (placa).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RBAC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Control de acceso basado en roles.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RLS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Row Level Security: seguridad a nivel de fila en la base de datos.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RF / RNF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Requisito Funcional / Requisito No Funcional.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ERS / SRS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Especificación de Requisitos de Software.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Compra directa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Atención de un pedido sin stock: se registra entrada de compra y salida a la vez.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1.4 Referencias</w:t>
      </w:r>
    </w:p>
    <w:p>
      <w:pPr>
        <w:pStyle w:val="ListBullet"/>
      </w:pPr>
      <w:r>
        <w:t>Código fuente del proyecto (monorepo): apps/web, packages/shared, packages/db.</w:t>
      </w:r>
    </w:p>
    <w:p>
      <w:pPr>
        <w:pStyle w:val="ListBullet"/>
      </w:pPr>
      <w:r>
        <w:t>Contrato de tipos y validaciones: packages/shared/src/dto.ts y roles.ts.</w:t>
      </w:r>
    </w:p>
    <w:p>
      <w:pPr>
        <w:pStyle w:val="ListBullet"/>
      </w:pPr>
      <w:r>
        <w:t>Modelo de datos y migraciones: packages/db (estándar BSG).</w:t>
      </w:r>
    </w:p>
    <w:p>
      <w:pPr>
        <w:pStyle w:val="ListBullet"/>
      </w:pPr>
      <w:r>
        <w:t>Manual de Usuario del Sistema de Inventario JJ Congeminco, v1.0.</w:t>
      </w:r>
    </w:p>
    <w:p>
      <w:pPr>
        <w:pStyle w:val="ListBullet"/>
      </w:pPr>
      <w:r>
        <w:t>ISO/IEC/IEEE 29148 e IEEE 830 como guía de estructura.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1.5 Visión general del documento</w:t>
      </w:r>
    </w:p>
    <w:p>
      <w:pPr>
        <w:spacing w:after="120"/>
      </w:pPr>
      <w:r>
        <w:rPr>
          <w:b w:val="0"/>
          <w:i w:val="0"/>
          <w:sz w:val="21"/>
        </w:rPr>
        <w:t>La sección 2 describe el contexto general del producto, su arquitectura y los tipos de usuario. La sección 3 detalla los requisitos funcionales agrupados por módulo. La sección 4 define los requisitos no funcionales. La sección 5 resume el modelo de datos. La sección 6 presenta la matriz de trazabilidad rol–permiso y los anexos.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631A"/>
          <w:sz w:val="34"/>
        </w:rPr>
        <w:t>2. Descripción general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2.1 Perspectiva del producto</w:t>
      </w:r>
    </w:p>
    <w:p>
      <w:pPr>
        <w:spacing w:after="120"/>
      </w:pPr>
      <w:r>
        <w:rPr>
          <w:b w:val="0"/>
          <w:i w:val="0"/>
          <w:sz w:val="21"/>
        </w:rPr>
        <w:t>Es una aplicación web autónoma de tipo ERP de inventario, multi-almacén, accesible desde navegador en computador o celular. Se apoya en una base de datos relacional con un patrón de tres capas en el que el libro mayor de movimientos es la única fuente de verdad:</w:t>
      </w:r>
    </w:p>
    <w:p>
      <w:pPr>
        <w:spacing w:after="120"/>
      </w:pPr>
      <w:r>
        <w:rPr>
          <w:b/>
          <w:i w:val="0"/>
          <w:color w:val="1E2530"/>
          <w:sz w:val="21"/>
        </w:rPr>
        <w:t>Documento (cabecera + detalle)  →  Movimiento de stock (libro mayor inmutable)  →  Saldo (caché por producto y ubicación)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2.2 Arquitectura y tecnologías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814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3005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4252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Rol en el sistema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Frontend / App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Next.js 15 (App Router), React 18, TypeScript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Interfaz de usuario y rutas de la aplicación.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UI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Tailwind CSS, shadcn/ui (Radix UI), lucide-react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Componentes accesibles y diseño responsive.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Estado/Datos cliente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TanStack Query (React Query)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Caché de datos, sincronización y paginación.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Gráficos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ECharts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Visualizaciones del dashboard y reportes.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Validación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Zod + React Hook Form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Validación de formularios en cliente y servidor.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API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Next.js Route Handlers (/app/api)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Lógica de aplicación y orquestación con la BD.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Autenticación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Supabase Auth (@supabase/ssr)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Inicio de sesión y gestión de sesión.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Base de datos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PostgreSQL (Supabase)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Persistencia, funciones, triggers y RLS.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Archivos Excel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SheetJS (xlsx)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Lectura/generación de plantillas de importación.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Despliegue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Cloudflare (OpenNext) + Wrangler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Hospedaje y publicación del sitio.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Monorepo</w:t>
            </w:r>
          </w:p>
        </w:tc>
        <w:tc>
          <w:tcPr>
            <w:tcW w:type="dxa" w:w="3005"/>
          </w:tcPr>
          <w:p>
            <w:r/>
            <w:r>
              <w:rPr>
                <w:sz w:val="19"/>
              </w:rPr>
              <w:t>pnpm + Turborepo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Gestión de paquetes y build (web, shared, db).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2.3 Funciones del producto (resumen)</w:t>
      </w:r>
    </w:p>
    <w:p>
      <w:pPr>
        <w:pStyle w:val="ListBullet"/>
      </w:pPr>
      <w:r>
        <w:t>Autenticación y control de acceso por rol y módulo (RBAC).</w:t>
      </w:r>
    </w:p>
    <w:p>
      <w:pPr>
        <w:pStyle w:val="ListBullet"/>
      </w:pPr>
      <w:r>
        <w:t>Tablero (dashboard) con indicadores, gráficos y alertas de bajo mínimo.</w:t>
      </w:r>
    </w:p>
    <w:p>
      <w:pPr>
        <w:pStyle w:val="ListBullet"/>
      </w:pPr>
      <w:r>
        <w:t>Consulta de saldos de stock con búsqueda y filtros.</w:t>
      </w:r>
    </w:p>
    <w:p>
      <w:pPr>
        <w:pStyle w:val="ListBullet"/>
      </w:pPr>
      <w:r>
        <w:t>Administración del catálogo de productos con compatibilidad por tipo de equipo e imágenes.</w:t>
      </w:r>
    </w:p>
    <w:p>
      <w:pPr>
        <w:pStyle w:val="ListBullet"/>
      </w:pPr>
      <w:r>
        <w:t>Registro de movimientos de inventario (5 tipos) con costeo y multi-almacén.</w:t>
      </w:r>
    </w:p>
    <w:p>
      <w:pPr>
        <w:pStyle w:val="ListBullet"/>
      </w:pPr>
      <w:r>
        <w:t>Gestión de requerimientos de materiales con flujo de aprobación y separación de funciones.</w:t>
      </w:r>
    </w:p>
    <w:p>
      <w:pPr>
        <w:pStyle w:val="ListBullet"/>
      </w:pPr>
      <w:r>
        <w:t>Mantenimiento de vehículos: órdenes de trabajo, consumo de repuestos y evidencia fotográfica.</w:t>
      </w:r>
    </w:p>
    <w:p>
      <w:pPr>
        <w:pStyle w:val="ListBullet"/>
      </w:pPr>
      <w:r>
        <w:t>Reportes de movimientos, valorizado de inventario y recambios por desgaste.</w:t>
      </w:r>
    </w:p>
    <w:p>
      <w:pPr>
        <w:pStyle w:val="ListBullet"/>
      </w:pPr>
      <w:r>
        <w:t>Importación masiva de productos y saldos desde Excel.</w:t>
      </w:r>
    </w:p>
    <w:p>
      <w:pPr>
        <w:pStyle w:val="ListBullet"/>
      </w:pPr>
      <w:r>
        <w:t>Administración de maestros: categorías, personal, cargos, proveedores, almacenes, equipos, vehículos y tipos de equipo.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2.4 Características de los usuarios (roles)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381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268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4422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Responsabilidad principal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Administrador (admin)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Administrador del sistema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Configuración total, importación, maestros y operación.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Gerencia (gerencia)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Jefatura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Consulta, aprobación de requerimientos y reportes.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Supervisión (supervision)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Supervisor de campo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Registra movimientos; crea y aprueba requerimientos.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Almacenero (almacenero)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Encargado de almacén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Operación diaria: catálogo, movimientos, mantenimiento.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Logística (logistica)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Consulta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Solo visualización de stock, movimientos y reportes.</w:t>
            </w:r>
          </w:p>
        </w:tc>
      </w:tr>
    </w:tbl>
    <w:p/>
    <w:p>
      <w:pPr>
        <w:spacing w:after="120"/>
      </w:pPr>
      <w:r>
        <w:rPr>
          <w:b w:val="0"/>
          <w:i/>
          <w:color w:val="5B6573"/>
          <w:sz w:val="21"/>
        </w:rPr>
        <w:t>La asignación rol→módulo reside en la base de datos (configurable sin redesplegar). El frontend recibe los módulos permitidos y filtra el menú; la API y la RLS refuerzan el control.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2.5 Restricciones de diseño</w:t>
      </w:r>
    </w:p>
    <w:p>
      <w:pPr>
        <w:pStyle w:val="ListBullet"/>
      </w:pPr>
      <w:r>
        <w:rPr>
          <w:b/>
        </w:rPr>
        <w:t xml:space="preserve">Defensa en BD: </w:t>
      </w:r>
      <w:r>
        <w:t>La base de datos es la fuente de verdad: las reglas críticas se aplican con funciones, triggers y RLS de PostgreSQL.</w:t>
      </w:r>
    </w:p>
    <w:p>
      <w:pPr>
        <w:pStyle w:val="ListBullet"/>
      </w:pPr>
      <w:r>
        <w:rPr>
          <w:b/>
        </w:rPr>
        <w:t xml:space="preserve">Inmutabilidad: </w:t>
      </w:r>
      <w:r>
        <w:t>El libro mayor de movimientos es inmutable; no se edita ni borra. Para corregir se anula el documento.</w:t>
      </w:r>
    </w:p>
    <w:p>
      <w:pPr>
        <w:pStyle w:val="ListBullet"/>
      </w:pPr>
      <w:r>
        <w:rPr>
          <w:b/>
        </w:rPr>
        <w:t xml:space="preserve">Estándar BSG: </w:t>
      </w:r>
      <w:r>
        <w:t>Nomenclatura y estructura según el estándar BSG (objetos en PascalCase español, esquemas comun/seg/inv).</w:t>
      </w:r>
    </w:p>
    <w:p>
      <w:pPr>
        <w:pStyle w:val="ListBullet"/>
      </w:pPr>
      <w:r>
        <w:rPr>
          <w:b/>
        </w:rPr>
        <w:t xml:space="preserve">Identificadores: </w:t>
      </w:r>
      <w:r>
        <w:t>Toda PK es UUID por compatibilidad con Supabase Auth.</w:t>
      </w:r>
    </w:p>
    <w:p>
      <w:pPr>
        <w:pStyle w:val="ListBullet"/>
      </w:pPr>
      <w:r>
        <w:rPr>
          <w:b/>
        </w:rPr>
        <w:t xml:space="preserve">Importación: </w:t>
      </w:r>
      <w:r>
        <w:t>Importaciones limitadas a 5000 filas por archivo y validación todo-o-nada.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2.6 Suposiciones y dependencias</w:t>
      </w:r>
    </w:p>
    <w:p>
      <w:pPr>
        <w:pStyle w:val="ListBullet"/>
      </w:pPr>
      <w:r>
        <w:t>Disponibilidad del servicio Supabase (Auth + PostgreSQL + Storage).</w:t>
      </w:r>
    </w:p>
    <w:p>
      <w:pPr>
        <w:pStyle w:val="ListBullet"/>
      </w:pPr>
      <w:r>
        <w:t>Conectividad a Internet por parte de los usuarios.</w:t>
      </w:r>
    </w:p>
    <w:p>
      <w:pPr>
        <w:pStyle w:val="ListBullet"/>
      </w:pPr>
      <w:r>
        <w:t>Los esquemas inv y seg deben estar expuestos a la Data API de Supabase.</w:t>
      </w:r>
    </w:p>
    <w:p>
      <w:pPr>
        <w:pStyle w:val="ListBullet"/>
      </w:pPr>
      <w:r>
        <w:t>Cada usuario de Auth debe tener su fila correspondiente en seg.T_Usuario para poder operar.</w:t>
      </w:r>
    </w:p>
    <w:p>
      <w:pPr>
        <w:pStyle w:val="ListBullet"/>
      </w:pPr>
      <w:r>
        <w:t>Montos expresados en Soles (S/), formato peruano.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631A"/>
          <w:sz w:val="34"/>
        </w:rPr>
        <w:t>3. Requisitos funcionales</w:t>
      </w:r>
    </w:p>
    <w:p>
      <w:pPr>
        <w:spacing w:after="120"/>
      </w:pPr>
      <w:r>
        <w:rPr>
          <w:b w:val="0"/>
          <w:i/>
          <w:color w:val="5B6573"/>
          <w:sz w:val="21"/>
        </w:rPr>
        <w:t>Cada requisito se identifica con un código del tipo RF-XXX-NN. La prioridad sigue la convención MoSCoW (Imprescindible / Recomendable / Opcional).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3.1 Autenticación y control de acceso</w:t>
      </w:r>
    </w:p>
    <w:p>
      <w:pPr>
        <w:spacing w:before="160"/>
      </w:pPr>
      <w:r>
        <w:rPr>
          <w:b/>
          <w:color w:val="1E2530"/>
          <w:sz w:val="23"/>
        </w:rPr>
        <w:t>RF-AUT-01 — Inicio de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El sistema debe permitir iniciar sesión con correo electrónico y contraseña mediante Supabase Auth.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Usuario no autenticado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El usuario debe existir en el proveedor de autenticación.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Credenciales inválidas muestran mensaje de error sin revelar detalles.</w:t>
            </w:r>
          </w:p>
          <w:p>
            <w:r>
              <w:rPr>
                <w:sz w:val="19"/>
              </w:rPr>
              <w:t>• Tras autenticarse, se redirige al tablero principal.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RF-AUT-02 — Cierre de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El sistema debe permitir cerrar la sesión desde el menú de usuario.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Usuario autenticado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Sesión activa.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Al cerrar sesión se invalida la sesión y se redirige a /login.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RF-AUT-03 — Gestión y refresco de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El sistema debe mantener y refrescar la sesión del usuario de forma transparente mediante middleware.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Usuario autenticado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Sesión válida.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Si la sesión expira o no es válida, se redirige a /login.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RF-AUT-04 — Control de acceso por rol y módulo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El sistema debe mostrar y permitir solo los módulos habilitados para el rol del usuario.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Todos los roles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Usuario con rol asignado.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El menú lateral se filtra según los módulos del usuario.</w:t>
            </w:r>
          </w:p>
          <w:p>
            <w:r>
              <w:rPr>
                <w:sz w:val="19"/>
              </w:rPr>
              <w:t>• El acceso por URL a un módulo no permitido redirige al tablero.</w:t>
            </w:r>
          </w:p>
          <w:p>
            <w:r>
              <w:rPr>
                <w:sz w:val="19"/>
              </w:rPr>
              <w:t>• La restricción se refuerza en la API y en la RLS de la BD.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RF-AUT-05 — Vinculación de usuario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Un usuario de autenticación no puede operar hasta tener su registro en seg.T_Usuario con un rol.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Administrador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Usuario creado en Auth.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Sin fila en seg.T_Usuario, el acceso a datos falla por RLS.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3.2 Tablero (Dashboard)</w:t>
      </w:r>
    </w:p>
    <w:p>
      <w:pPr>
        <w:spacing w:before="160"/>
      </w:pPr>
      <w:r>
        <w:rPr>
          <w:b/>
          <w:color w:val="1E2530"/>
          <w:sz w:val="23"/>
        </w:rPr>
        <w:t>RF-DSH-01 — Indicadores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Mostrar total de productos activos, valor total del inventario, cantidad bajo mínimo y movimientos del período.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Todos los roles con módulo dashboard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Sesión iniciada.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El valor total se calcula como stock × costo promedio.</w:t>
            </w:r>
          </w:p>
          <w:p>
            <w:r>
              <w:rPr>
                <w:sz w:val="19"/>
              </w:rPr>
              <w:t>• Solo lectura.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RF-DSH-02 — Gráficos analíticos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Mostrar gráficos de entradas vs salidas por día, valor por categoría y top de productos más movidos.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Todos los roles con módulo dashboard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Existencia de movimientos.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Los gráficos respetan el período seleccionado.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RF-DSH-03 — Tabla de productos bajo mínimo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Listar los productos cuyo stock total es menor a su stock mínimo (SKU, nombre, categoría, mínimo, actual).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Todos los roles con módulo dashboard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Catálogo con stock mínimo configurado.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Marca visual de estado «Bajo mínimo».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RF-DSH-04 — Selector de período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Permitir filtrar la información del tablero por últimos 7, 30 o 90 días.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Todos los roles con módulo dashboard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Todos los indicadores y gráficos se recalculan con el rango.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3.3 Saldos</w:t>
      </w:r>
    </w:p>
    <w:p>
      <w:pPr>
        <w:spacing w:before="160"/>
      </w:pPr>
      <w:r>
        <w:rPr>
          <w:b/>
          <w:color w:val="1E2530"/>
          <w:sz w:val="23"/>
        </w:rPr>
        <w:t>RF-SLD-01 — Consulta de saldos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Mostrar el stock disponible de cada producto en tarjetas, optimizado para uso en celular/campo.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Todos los roles con módulo saldos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Productos en catálogo.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Muestra cantidad con su unidad de medida.</w:t>
            </w:r>
          </w:p>
          <w:p>
            <w:r>
              <w:rPr>
                <w:sz w:val="19"/>
              </w:rPr>
              <w:t>• Marca «Bajo mínimo» cuando corresponde.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RF-SLD-02 — Búsqueda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Permitir buscar productos por nombre o SKU.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Todos los roles con módulo saldos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Búsqueda incremental.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RF-SLD-03 — Filtro por categoría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Permitir filtrar saldos por categoría mediante selección rápida.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Todos los roles con módulo saldos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Categorías definidas.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—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RF-SLD-04 — Detalle de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Al abrir un producto, mostrar stock total y por ubicación, stock mínimo, costo promedio y equipos compatibles.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Todos los roles con módulo saldos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Solo consulta; no permite modificar stock.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3.4 Catálogo de productos</w:t>
      </w:r>
    </w:p>
    <w:p>
      <w:pPr>
        <w:spacing w:before="160"/>
      </w:pPr>
      <w:r>
        <w:rPr>
          <w:b/>
          <w:color w:val="1E2530"/>
          <w:sz w:val="23"/>
        </w:rPr>
        <w:t>RF-CAT-01 — Listar, buscar y filtrar productos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Listar el catálogo con SKU, nombre, categoría, tipos de equipo compatibles y estado de stock; con búsqueda y filtro por categoría.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Todos los roles con módulo catálogo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—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RF-CAT-02 — Crear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Registrar un producto con SKU, nombre, categoría, unidad de medida, stock mínimo, códigos y compatibilidad.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Categorías y unidades existentes.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SKU obligatorio (máx 50) y único; nombre obligatorio (máx 200).</w:t>
            </w:r>
          </w:p>
          <w:p>
            <w:r>
              <w:rPr>
                <w:sz w:val="19"/>
              </w:rPr>
              <w:t>• Categoría y unidad obligatorias; stock mínimo ≥ 0.</w:t>
            </w:r>
          </w:p>
          <w:p>
            <w:r>
              <w:rPr>
                <w:sz w:val="19"/>
              </w:rPr>
              <w:t>• Compatibilidad: «General» XOR uno o más tipos de equipo (nunca ambos).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RF-CAT-03 — Editar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Modificar los datos de un producto existente, incluida su compatibilidad y estado.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Producto existente.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Se mantienen las mismas validaciones de creación.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RF-CAT-04 — Eliminar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Eliminar un producto del catálogo.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Producto sin dependencias.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No se permite eliminar si tiene movimientos u otras dependencias.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RF-CAT-05 — Gestionar imágenes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Adjuntar hasta 3 imágenes por producto, marcando una como principal.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Producto existente.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Máximo 3 imágenes; orden y marca de principal.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RF-CAT-06 — Compatibilidad por tipo de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Definir si un producto es general (todos los equipos) o aplica a tipos de equipo específicos.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Tipos de equipo definidos.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Invariante general XOR ≥1 tipo validada por la BD.</w:t>
            </w:r>
          </w:p>
          <w:p>
            <w:r>
              <w:rPr>
                <w:sz w:val="19"/>
              </w:rPr>
              <w:t>• Producto no general sin tipo aparece como «Sin clasificar».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RF-CAT-07 — Asociación masiva por categoría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Asociar de una sola vez todos los productos de una categoría a un tipo de equipo.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Categoría y tipo existentes.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—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RF-CAT-08 — Kardex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Consultar el historial de movimientos de un producto con saldo corrido por ubicación.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Todos los roles con módulo catálogo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Movimientos registrados.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Solo lectura.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3.5 Movimientos de inventario</w:t>
      </w:r>
    </w:p>
    <w:p>
      <w:pPr>
        <w:spacing w:before="160"/>
      </w:pPr>
      <w:r>
        <w:rPr>
          <w:b/>
          <w:color w:val="1E2530"/>
          <w:sz w:val="23"/>
        </w:rPr>
        <w:t>RF-MOV-01 — Registrar documento de inventario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Registrar un documento con cabecera y una o más líneas de detalle que afecta el stock al confirmarse.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Productos y ubicaciones definidos.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El detalle requiere al menos una línea con cantidad &gt; 0.</w:t>
            </w:r>
          </w:p>
          <w:p>
            <w:r>
              <w:rPr>
                <w:sz w:val="19"/>
              </w:rPr>
              <w:t>• Al registrar se confirma e impacta el libro mayor de inmediato.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RF-MOV-02 — Tipos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Soportar los tipos: existencia inicial, entrada, salida, transferencia y ajuste.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Entrada/existencia inicial: requieren ubicación destino.</w:t>
            </w:r>
          </w:p>
          <w:p>
            <w:r>
              <w:rPr>
                <w:sz w:val="19"/>
              </w:rPr>
              <w:t>• Salida: requiere origen y placa por línea.</w:t>
            </w:r>
          </w:p>
          <w:p>
            <w:r>
              <w:rPr>
                <w:sz w:val="19"/>
              </w:rPr>
              <w:t>• Transferencia: requiere origen y destino distintos.</w:t>
            </w:r>
          </w:p>
          <w:p>
            <w:r>
              <w:rPr>
                <w:sz w:val="19"/>
              </w:rPr>
              <w:t>• Ajuste: corrige por conteo físico.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RF-MOV-03 — Validaciones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Aplicar reglas que garanticen la integridad del stock.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Ninguna salida puede dejar saldo negativo (se bloquea).</w:t>
            </w:r>
          </w:p>
          <w:p>
            <w:r>
              <w:rPr>
                <w:sz w:val="19"/>
              </w:rPr>
              <w:t>• Transferencia con origen ≠ destino.</w:t>
            </w:r>
          </w:p>
          <w:p>
            <w:r>
              <w:rPr>
                <w:sz w:val="19"/>
              </w:rPr>
              <w:t>• Cada línea de salida exige placa destino.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RF-MOV-04 — Costeo de movimientos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Gestionar el costo unitario según el tipo de movimiento.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Entrada: costo unitario editable.</w:t>
            </w:r>
          </w:p>
          <w:p>
            <w:r>
              <w:rPr>
                <w:sz w:val="19"/>
              </w:rPr>
              <w:t>• Salida: costo = costo promedio vigente (override manual registrado).</w:t>
            </w:r>
          </w:p>
          <w:p>
            <w:r>
              <w:rPr>
                <w:sz w:val="19"/>
              </w:rPr>
              <w:t>• Transferencia: mantiene el costo; no recalcula el promedio.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RF-MOV-05 — Filtro de compatibilidad por placa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En salidas, permitir mostrar solo productos compatibles con la placa (más los generales).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Vehículo con tipo de equipo.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—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RF-MOV-06 — Documentos recientes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Listar los documentos registrados recientemente, con paginación.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3.6 Requerimientos</w:t>
      </w:r>
    </w:p>
    <w:p>
      <w:pPr>
        <w:spacing w:before="160"/>
      </w:pPr>
      <w:r>
        <w:rPr>
          <w:b/>
          <w:color w:val="1E2530"/>
          <w:sz w:val="23"/>
        </w:rPr>
        <w:t>RF-REQ-01 — Crear requerimiento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Registrar una solicitud de materiales asociada a un equipo o vehículo, con una o más líneas.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Productos y destino definidos.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Debe indicarse equipo o placa (cabecera) o placa por línea.</w:t>
            </w:r>
          </w:p>
          <w:p>
            <w:r>
              <w:rPr>
                <w:sz w:val="19"/>
              </w:rPr>
              <w:t>• Al crearse queda en estado «pendiente» y no descuenta stock.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RF-REQ-02 — Origen del requerimiento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Clasificar el requerimiento como planificado, presupuestado o por desgaste prematuro.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El origen «desgaste prematuro» alimenta el reporte de recambios.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3.7 Aprobaciones</w:t>
      </w:r>
    </w:p>
    <w:p>
      <w:pPr>
        <w:spacing w:before="160"/>
      </w:pPr>
      <w:r>
        <w:rPr>
          <w:b/>
          <w:color w:val="1E2530"/>
          <w:sz w:val="23"/>
        </w:rPr>
        <w:t>RF-APR-01 — Bandeja de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Listar los requerimientos pendientes de atención o rechazo.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gerencia,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Requerimientos pendientes.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—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RF-APR-02 — Atender requerimiento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Entregar el material indicando almacén origen y cantidad por línea (entrega parcial permitida).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gerencia,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Requerimiento pendiente.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Modo por línea: stock (sale del almacén) o compra directa.</w:t>
            </w:r>
          </w:p>
          <w:p>
            <w:r>
              <w:rPr>
                <w:sz w:val="19"/>
              </w:rPr>
              <w:t>• Compra directa exige proveedor, comprobante y costo por línea.</w:t>
            </w:r>
          </w:p>
          <w:p>
            <w:r>
              <w:rPr>
                <w:sz w:val="19"/>
              </w:rPr>
              <w:t>• Al atender genera salida valorizada y marca «atendido»; actualiza cantidad atendida.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RF-APR-03 — Rechazar requerimiento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Rechazar un requerimiento pendiente con motivo opcional.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gerencia,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Requerimiento pendiente.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El requerimiento pasa a estado «anulado»; no descuenta stock.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RF-APR-04 — Separación de funciones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Impedir que el creador de un requerimiento lo apruebe él mismo.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Todos los aprobadores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El administrador está exento. La regla la refuerza la BD.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RF-APR-05 — Generar PDF de la solicitud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Generar un PDF del requerimiento para impresión o archivo.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gerencia,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Requerimiento existente.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—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RF-APR-06 — Reconciliación de mantenimiento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Ratificar (aprobar) o rechazar el consumo de repuestos de órdenes de trabajo.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gerencia,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OT en estado «consumida».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Aprobar: cierra la OT (el stock ya salió).</w:t>
            </w:r>
          </w:p>
          <w:p>
            <w:r>
              <w:rPr>
                <w:sz w:val="19"/>
              </w:rPr>
              <w:t>• Rechazar: anula la OT y genera entrada de reversa al costo del libro mayor.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RF-APR-07 — Histórico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Consultar requerimientos atendidos y anulados (solo lectura).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gerencia,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3.8 Mantenimiento (Órdenes de Trabajo)</w:t>
      </w:r>
    </w:p>
    <w:p>
      <w:pPr>
        <w:spacing w:before="160"/>
      </w:pPr>
      <w:r>
        <w:rPr>
          <w:b/>
          <w:color w:val="1E2530"/>
          <w:sz w:val="23"/>
        </w:rPr>
        <w:t>RF-MNT-01 — Crear orden de trabajo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Registrar una OT por placa con tipo, fecha, turno, mecánico(s), kilometraje y trabajos.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Vehículos y personal definidos.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Tipo preventivo o correctivo; placa y al menos un personal obligatorios.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RF-MNT-02 — Ciclo de estados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Gestionar los estados de la OT: abierta, consumida, cerrada y anulada.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OT existente.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abierta → consumida → cerrada | anulada.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RF-MNT-03 — Consumir repuestos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Registrar el consumo de repuestos, descontando el stock de inmediato.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OT abierta y stock disponible.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Modo stock o compra directa (proveedor, comprobante y costo por línea).</w:t>
            </w:r>
          </w:p>
          <w:p>
            <w:r>
              <w:rPr>
                <w:sz w:val="19"/>
              </w:rPr>
              <w:t>• Genera un requerimiento interno enlazado 1:1 a la OT.</w:t>
            </w:r>
          </w:p>
          <w:p>
            <w:r>
              <w:rPr>
                <w:sz w:val="19"/>
              </w:rPr>
              <w:t>• La OT pasa a «consumida», pendiente de reconciliación.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RF-MNT-04 — Cerrar sin repuestos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Cerrar una OT que no consumió repuestos.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OT abierta.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La OT pasa a «cerrada».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RF-MNT-05 — Anular / eliminar 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Anular una OT o eliminarla si está abierta y sin consumo.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OT abierta sin consumo (para eliminar).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—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RF-MNT-06 — Evidencia fotográfica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Adjuntar fotos de estado actual (antes) y post mantenimiento (después) al culminar.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OT existente.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Mínimo 1 de cada tipo al cerrar; máximo 10 por tipo.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RF-MNT-07 — Generar PDF de la 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Imprimir/generar el PDF de la orden de trabajo.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OT existente.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3.9 Reportes</w:t>
      </w:r>
    </w:p>
    <w:p>
      <w:pPr>
        <w:spacing w:before="160"/>
      </w:pPr>
      <w:r>
        <w:rPr>
          <w:b/>
          <w:color w:val="1E2530"/>
          <w:sz w:val="23"/>
        </w:rPr>
        <w:t>RF-REP-01 — Reporte de movimientos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Analizar entradas y salidas por período con filtros y totales por tipo.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gerencia,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Movimientos registrados.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Filtros por fecha, producto, categoría, proveedor, ubicación, placa, equipo y tipo.</w:t>
            </w:r>
          </w:p>
          <w:p>
            <w:r>
              <w:rPr>
                <w:sz w:val="19"/>
              </w:rPr>
              <w:t>• Indicadores de valor de entradas, salidas y neto.</w:t>
            </w:r>
          </w:p>
          <w:p>
            <w:r>
              <w:rPr>
                <w:sz w:val="19"/>
              </w:rPr>
              <w:t>• Exportable a CSV.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RF-REP-02 — Reporte valorizado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Mostrar el valor del inventario (stock × costo promedio) por categoría.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gerencia,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Catálogo con stock.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Filtro por categoría y por «solo bajo mínimo».</w:t>
            </w:r>
          </w:p>
          <w:p>
            <w:r>
              <w:rPr>
                <w:sz w:val="19"/>
              </w:rPr>
              <w:t>• Exportable a CSV.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RF-REP-03 — Reporte de recambios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Detectar repuestos cambiados con mayor frecuencia de lo normal (desgaste prematuro).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gerencia,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Requerimientos/consumos con origen de desgaste.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Indicadores de total de casos, acelerados y porcentaje.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RF-REP-04 — Exportación 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Permitir descargar los reportes en formato CSV.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admin, gerencia, supervisión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Reporte generado.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3.10 Importación masiva</w:t>
      </w:r>
    </w:p>
    <w:p>
      <w:pPr>
        <w:spacing w:before="160"/>
      </w:pPr>
      <w:r>
        <w:rPr>
          <w:b/>
          <w:color w:val="1E2530"/>
          <w:sz w:val="23"/>
        </w:rPr>
        <w:t>RF-IMP-01 — Importar productos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Cargar productos de forma masiva desde un archivo Excel (.xlsx).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Maestros de categorías, unidades y tipos definidos.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Columnas: Sku, Nombre, CodigoCategoria, CodigoUnidad, EsGeneral, TiposEquipo, StockMinimo, CodigoBarra, CodigoProductoProveedor.</w:t>
            </w:r>
          </w:p>
          <w:p>
            <w:r>
              <w:rPr>
                <w:sz w:val="19"/>
              </w:rPr>
              <w:t>• Modo «solo crear» o «crear y actualizar».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RF-IMP-02 — Importar saldos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Cargar saldos por almacén desde Excel, en modo existencia inicial o recuento.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Productos y ubicaciones existentes; fecha de corte.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Inicial: crea existencias (rechaza si ya hay saldo).</w:t>
            </w:r>
          </w:p>
          <w:p>
            <w:r>
              <w:rPr>
                <w:sz w:val="19"/>
              </w:rPr>
              <w:t>• Recuento: ajusta la diferencia contra el saldo vigente.</w:t>
            </w:r>
          </w:p>
          <w:p>
            <w:r>
              <w:rPr>
                <w:sz w:val="19"/>
              </w:rPr>
              <w:t>• Requiere fecha de corte (YYYY-MM-DD).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RF-IMP-03 — Validación todo-o-nada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Si una fila falla, no se aplica ningún cambio y se reporta el detalle por fila.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Archivo cargado.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Reporte con filas correctas, creados, actualizados y errores (fila/columna).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RF-IMP-04 — Plantilla descargable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Recomendable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Proveer una plantilla Excel con el formato correcto y los códigos de referencia.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—</w:t>
            </w:r>
          </w:p>
        </w:tc>
      </w:tr>
    </w:tbl>
    <w:p/>
    <w:p>
      <w:pPr>
        <w:spacing w:before="160"/>
      </w:pPr>
      <w:r>
        <w:rPr>
          <w:b/>
          <w:color w:val="1E2530"/>
          <w:sz w:val="23"/>
        </w:rPr>
        <w:t>RF-IMP-05 — Límite de tamaño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Prioridad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Imprescindible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Limitar la importación a un máximo de 5000 filas por archivo.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Actores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Precondiciones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DEEE3"/>
          </w:tcPr>
          <w:p>
            <w:r/>
            <w:r>
              <w:rPr>
                <w:b/>
                <w:sz w:val="19"/>
              </w:rPr>
              <w:t>Reglas y validaciones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• Se rechazan archivos que excedan el límite.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3.11 Maestros (configuración)</w:t>
      </w:r>
    </w:p>
    <w:p>
      <w:pPr>
        <w:spacing w:after="120"/>
      </w:pPr>
      <w:r>
        <w:rPr>
          <w:b w:val="0"/>
          <w:i w:val="0"/>
          <w:sz w:val="21"/>
        </w:rPr>
        <w:t>Cada maestro debe permitir listar, crear, editar y eliminar registros (eliminación condicionada a que no existan dependencias). El acceso de escritura sigue la matriz de permisos del Anexo 6.2.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361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381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Maestro</w:t>
            </w:r>
          </w:p>
        </w:tc>
        <w:tc>
          <w:tcPr>
            <w:tcW w:type="dxa" w:w="3742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Campos principales</w:t>
            </w:r>
          </w:p>
        </w:tc>
        <w:tc>
          <w:tcPr>
            <w:tcW w:type="dxa" w:w="1587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Escritura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RF-MAE-01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Categorías y familias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Código, nombre, descripción, familia padre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RF-MAE-02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Personal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Nombre, DNI, teléfono, cargo, usuario de acceso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RF-MAE-03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Cargos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Código, nombre, descripción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RF-MAE-04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Proveedores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Nombre, RUC, contacto, teléfono, cuentas bancarias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admin, almacenero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RF-MAE-05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Almacenes / ubicaciones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Código, nombre, tipo, dirección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RF-MAE-06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Equipos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Código, nombre, descripción, tipo de equipo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admin, almacenero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RF-MAE-07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Vehículos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Placa, modelo, equipo asignado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admin, almacenero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RF-MAE-08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Tipos de equipo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Código, nombre, descripción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admin, almacenero</w:t>
            </w:r>
          </w:p>
        </w:tc>
      </w:tr>
    </w:tbl>
    <w:p/>
    <w:p>
      <w:pPr>
        <w:spacing w:after="120"/>
      </w:pPr>
      <w:r>
        <w:rPr>
          <w:b w:val="0"/>
          <w:i/>
          <w:color w:val="5B6573"/>
          <w:sz w:val="21"/>
        </w:rPr>
        <w:t>Detalle del maestro de proveedores: cada proveedor admite varias cuentas bancarias (banco, tipo corriente/ahorros, número, CCI, moneda PEN/USD, titular, marca de principal).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631A"/>
          <w:sz w:val="34"/>
        </w:rPr>
        <w:t>4. Requisitos no funcionales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4.1 Seguridad</w:t>
      </w:r>
    </w:p>
    <w:p>
      <w:r>
        <w:rPr>
          <w:b/>
          <w:color w:val="1E2530"/>
          <w:sz w:val="21"/>
        </w:rPr>
        <w:t xml:space="preserve">RNF-SEG-01 — Autenticación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El acceso debe requerir autenticación mediante Supabase Auth; ninguna ruta de la aplicación es accesible sin sesión válida.</w:t>
      </w:r>
    </w:p>
    <w:p>
      <w:r>
        <w:rPr>
          <w:b/>
          <w:color w:val="1E2530"/>
          <w:sz w:val="21"/>
        </w:rPr>
        <w:t xml:space="preserve">RNF-SEG-02 — Seguridad a nivel de fila (RLS)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La base de datos debe proteger los datos con políticas RLS por rol, de modo que cada usuario solo pueda leer/escribir lo que su rol permite, independientemente del frontend.</w:t>
      </w:r>
    </w:p>
    <w:p>
      <w:r>
        <w:rPr>
          <w:b/>
          <w:color w:val="1E2530"/>
          <w:sz w:val="21"/>
        </w:rPr>
        <w:t xml:space="preserve">RNF-SEG-03 — Defensa en profundidad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El control de acceso debe aplicarse en tres capas: menú/guard de ruta en el frontend, verificación en la API y RLS en la base de datos.</w:t>
      </w:r>
    </w:p>
    <w:p>
      <w:r>
        <w:rPr>
          <w:b/>
          <w:color w:val="1E2530"/>
          <w:sz w:val="21"/>
        </w:rPr>
        <w:t xml:space="preserve">RNF-SEG-04 — Separación de funciones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El sistema debe impedir que un mismo usuario cree y apruebe el mismo requerimiento (salvo el administrador).</w:t>
      </w:r>
    </w:p>
    <w:p>
      <w:r>
        <w:rPr>
          <w:b/>
          <w:color w:val="1E2530"/>
          <w:sz w:val="21"/>
        </w:rPr>
        <w:t xml:space="preserve">RNF-SEG-05 — Validación de entrada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Toda entrada debe validarse con Zod tanto en el cliente como en el servidor antes de persistir.</w:t>
      </w:r>
    </w:p>
    <w:p>
      <w:r>
        <w:rPr>
          <w:b/>
          <w:color w:val="1E2530"/>
          <w:sz w:val="21"/>
        </w:rPr>
        <w:t xml:space="preserve">RNF-SEG-06 — Transporte cifrado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Toda comunicación debe realizarse sobre HTTPS.</w:t>
      </w:r>
    </w:p>
    <w:p>
      <w:r>
        <w:rPr>
          <w:b/>
          <w:color w:val="1E2530"/>
          <w:sz w:val="21"/>
        </w:rPr>
        <w:t xml:space="preserve">RNF-SEG-07 — Gestión de secretos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Las credenciales y llaves (Supabase, base de datos) deben gestionarse por variables de entorno y nunca exponerse en el cliente (solo la llave anónima).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4.2 Integridad y fiabilidad de datos</w:t>
      </w:r>
    </w:p>
    <w:p>
      <w:r>
        <w:rPr>
          <w:b/>
          <w:color w:val="1E2530"/>
          <w:sz w:val="21"/>
        </w:rPr>
        <w:t xml:space="preserve">RNF-FIA-01 — Fuente única de verdad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El stock debe derivarse siempre del libro mayor de movimientos (append-only e inmutable); el saldo es una caché reconciliable.</w:t>
      </w:r>
    </w:p>
    <w:p>
      <w:r>
        <w:rPr>
          <w:b/>
          <w:color w:val="1E2530"/>
          <w:sz w:val="21"/>
        </w:rPr>
        <w:t xml:space="preserve">RNF-FIA-02 — Inmutabilidad del libro mayor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Los movimientos no deben poder editarse ni borrarse; las correcciones se hacen por anulación de documento (movimientos inversos).</w:t>
      </w:r>
    </w:p>
    <w:p>
      <w:r>
        <w:rPr>
          <w:b/>
          <w:color w:val="1E2530"/>
          <w:sz w:val="21"/>
        </w:rPr>
        <w:t xml:space="preserve">RNF-FIA-03 — Operaciones atómicas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El registro de documentos y las importaciones deben ser transaccionales (todo-o-nada).</w:t>
      </w:r>
    </w:p>
    <w:p>
      <w:r>
        <w:rPr>
          <w:b/>
          <w:color w:val="1E2530"/>
          <w:sz w:val="21"/>
        </w:rPr>
        <w:t xml:space="preserve">RNF-FIA-04 — No negatividad del stock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El sistema debe impedir cualquier movimiento que deje un saldo negativo por producto y ubicación.</w:t>
      </w:r>
    </w:p>
    <w:p>
      <w:r>
        <w:rPr>
          <w:b/>
          <w:color w:val="1E2530"/>
          <w:sz w:val="21"/>
        </w:rPr>
        <w:t xml:space="preserve">RNF-FIA-05 — Reconciliación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Debe existir un mecanismo para verificar la caché de saldos contra el libro mayor.</w:t>
      </w:r>
    </w:p>
    <w:p>
      <w:r>
        <w:rPr>
          <w:b/>
          <w:color w:val="1E2530"/>
          <w:sz w:val="21"/>
        </w:rPr>
        <w:t xml:space="preserve">RNF-FIA-06 — Auditoría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Cada registro debe conservar usuario y fecha de creación/modificación, versión de fila y trazabilidad (campos de auditoría del estándar BSG).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4.3 Rendimiento</w:t>
      </w:r>
    </w:p>
    <w:p>
      <w:r>
        <w:rPr>
          <w:b/>
          <w:color w:val="1E2530"/>
          <w:sz w:val="21"/>
        </w:rPr>
        <w:t xml:space="preserve">RNF-REN-01 — Consulta de saldos eficiente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La consulta de stock debe resolverse en tiempo prácticamente constante gracias a la caché de saldos por producto y ubicación.</w:t>
      </w:r>
    </w:p>
    <w:p>
      <w:r>
        <w:rPr>
          <w:b/>
          <w:color w:val="1E2530"/>
          <w:sz w:val="21"/>
        </w:rPr>
        <w:t xml:space="preserve">RNF-REN-02 — Caché de cliente </w:t>
      </w:r>
      <w:r>
        <w:rPr>
          <w:i/>
          <w:color w:val="E8631A"/>
          <w:sz w:val="18"/>
        </w:rPr>
        <w:t>[Recomendable]</w:t>
      </w:r>
    </w:p>
    <w:p>
      <w:pPr>
        <w:spacing w:after="160"/>
      </w:pPr>
      <w:r>
        <w:rPr>
          <w:b w:val="0"/>
          <w:i w:val="0"/>
          <w:sz w:val="21"/>
        </w:rPr>
        <w:t>El frontend debe cachear y reutilizar datos con TanStack Query para minimizar llamadas y mejorar la respuesta percibida.</w:t>
      </w:r>
    </w:p>
    <w:p>
      <w:r>
        <w:rPr>
          <w:b/>
          <w:color w:val="1E2530"/>
          <w:sz w:val="21"/>
        </w:rPr>
        <w:t xml:space="preserve">RNF-REN-03 — Paginación </w:t>
      </w:r>
      <w:r>
        <w:rPr>
          <w:i/>
          <w:color w:val="E8631A"/>
          <w:sz w:val="18"/>
        </w:rPr>
        <w:t>[Recomendable]</w:t>
      </w:r>
    </w:p>
    <w:p>
      <w:pPr>
        <w:spacing w:after="160"/>
      </w:pPr>
      <w:r>
        <w:rPr>
          <w:b w:val="0"/>
          <w:i w:val="0"/>
          <w:sz w:val="21"/>
        </w:rPr>
        <w:t>Los listados extensos (documentos, maestros) deben paginarse para mantener tiempos de carga aceptables.</w:t>
      </w:r>
    </w:p>
    <w:p>
      <w:r>
        <w:rPr>
          <w:b/>
          <w:color w:val="1E2530"/>
          <w:sz w:val="21"/>
        </w:rPr>
        <w:t xml:space="preserve">RNF-REN-04 — Límite de lotes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Las importaciones se limitan a 5000 filas por archivo para acotar el consumo de recursos.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4.4 Usabilidad</w:t>
      </w:r>
    </w:p>
    <w:p>
      <w:r>
        <w:rPr>
          <w:b/>
          <w:color w:val="1E2530"/>
          <w:sz w:val="21"/>
        </w:rPr>
        <w:t xml:space="preserve">RNF-USA-01 — Diseño responsive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La interfaz debe adaptarse a computador y celular; la pantalla de saldos debe estar optimizada para uso en campo.</w:t>
      </w:r>
    </w:p>
    <w:p>
      <w:r>
        <w:rPr>
          <w:b/>
          <w:color w:val="1E2530"/>
          <w:sz w:val="21"/>
        </w:rPr>
        <w:t xml:space="preserve">RNF-USA-02 — Idioma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Toda la interfaz y los mensajes deben estar en español.</w:t>
      </w:r>
    </w:p>
    <w:p>
      <w:r>
        <w:rPr>
          <w:b/>
          <w:color w:val="1E2530"/>
          <w:sz w:val="21"/>
        </w:rPr>
        <w:t xml:space="preserve">RNF-USA-03 — Tema claro/oscuro </w:t>
      </w:r>
      <w:r>
        <w:rPr>
          <w:i/>
          <w:color w:val="E8631A"/>
          <w:sz w:val="18"/>
        </w:rPr>
        <w:t>[Opcional]</w:t>
      </w:r>
    </w:p>
    <w:p>
      <w:pPr>
        <w:spacing w:after="160"/>
      </w:pPr>
      <w:r>
        <w:rPr>
          <w:b w:val="0"/>
          <w:i w:val="0"/>
          <w:sz w:val="21"/>
        </w:rPr>
        <w:t>El usuario debe poder alternar entre tema claro y oscuro.</w:t>
      </w:r>
    </w:p>
    <w:p>
      <w:r>
        <w:rPr>
          <w:b/>
          <w:color w:val="1E2530"/>
          <w:sz w:val="21"/>
        </w:rPr>
        <w:t xml:space="preserve">RNF-USA-04 — Retroalimentación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El sistema debe informar el resultado de cada acción mediante notificaciones claras (éxito/error).</w:t>
      </w:r>
    </w:p>
    <w:p>
      <w:r>
        <w:rPr>
          <w:b/>
          <w:color w:val="1E2530"/>
          <w:sz w:val="21"/>
        </w:rPr>
        <w:t xml:space="preserve">RNF-USA-05 — Accesibilidad </w:t>
      </w:r>
      <w:r>
        <w:rPr>
          <w:i/>
          <w:color w:val="E8631A"/>
          <w:sz w:val="18"/>
        </w:rPr>
        <w:t>[Recomendable]</w:t>
      </w:r>
    </w:p>
    <w:p>
      <w:pPr>
        <w:spacing w:after="160"/>
      </w:pPr>
      <w:r>
        <w:rPr>
          <w:b w:val="0"/>
          <w:i w:val="0"/>
          <w:sz w:val="21"/>
        </w:rPr>
        <w:t>Los componentes de interfaz deben basarse en primitivas accesibles (Radix UI).</w:t>
      </w:r>
    </w:p>
    <w:p>
      <w:r>
        <w:rPr>
          <w:b/>
          <w:color w:val="1E2530"/>
          <w:sz w:val="21"/>
        </w:rPr>
        <w:t xml:space="preserve">RNF-USA-06 — Mensajes de error útiles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Los errores de validación deben explicar la causa y, cuando aplique, la fila/columna afectada.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4.5 Mantenibilidad y calidad</w:t>
      </w:r>
    </w:p>
    <w:p>
      <w:r>
        <w:rPr>
          <w:b/>
          <w:color w:val="1E2530"/>
          <w:sz w:val="21"/>
        </w:rPr>
        <w:t xml:space="preserve">RNF-MAN-01 — Tipado estricto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El código debe usar TypeScript con tipos compartidos entre frontend y backend (paquete shared).</w:t>
      </w:r>
    </w:p>
    <w:p>
      <w:r>
        <w:rPr>
          <w:b/>
          <w:color w:val="1E2530"/>
          <w:sz w:val="21"/>
        </w:rPr>
        <w:t xml:space="preserve">RNF-MAN-02 — Contrato único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Las reglas de validación y los enumerados deben centralizarse en un único contrato (Zod) reutilizado por todas las capas.</w:t>
      </w:r>
    </w:p>
    <w:p>
      <w:r>
        <w:rPr>
          <w:b/>
          <w:color w:val="1E2530"/>
          <w:sz w:val="21"/>
        </w:rPr>
        <w:t xml:space="preserve">RNF-MAN-03 — Estándar de base de datos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El esquema debe seguir el estándar BSG (nomenclatura, esquemas, auditoría, constraints nombradas).</w:t>
      </w:r>
    </w:p>
    <w:p>
      <w:r>
        <w:rPr>
          <w:b/>
          <w:color w:val="1E2530"/>
          <w:sz w:val="21"/>
        </w:rPr>
        <w:t xml:space="preserve">RNF-MAN-04 — Migraciones idempotentes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Los cambios de base de datos deben aplicarse mediante migraciones versionadas e idempotentes.</w:t>
      </w:r>
    </w:p>
    <w:p>
      <w:r>
        <w:rPr>
          <w:b/>
          <w:color w:val="1E2530"/>
          <w:sz w:val="21"/>
        </w:rPr>
        <w:t xml:space="preserve">RNF-MAN-05 — Monorepo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El proyecto debe organizarse como monorepo (pnpm + Turborepo) separando web, shared y db.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4.6 Portabilidad y despliegue</w:t>
      </w:r>
    </w:p>
    <w:p>
      <w:r>
        <w:rPr>
          <w:b/>
          <w:color w:val="1E2530"/>
          <w:sz w:val="21"/>
        </w:rPr>
        <w:t xml:space="preserve">RNF-POR-01 — Despliegue web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El sistema debe poder desplegarse en Cloudflare mediante OpenNext/Wrangler.</w:t>
      </w:r>
    </w:p>
    <w:p>
      <w:r>
        <w:rPr>
          <w:b/>
          <w:color w:val="1E2530"/>
          <w:sz w:val="21"/>
        </w:rPr>
        <w:t xml:space="preserve">RNF-POR-02 — Compatibilidad de navegadores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Debe funcionar en navegadores modernos (Chrome, Edge, Safari, Firefox) en sus versiones recientes.</w:t>
      </w:r>
    </w:p>
    <w:p>
      <w:r>
        <w:rPr>
          <w:b/>
          <w:color w:val="1E2530"/>
          <w:sz w:val="21"/>
        </w:rPr>
        <w:t xml:space="preserve">RNF-POR-03 — Multi-almacén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La arquitectura debe soportar múltiples almacenes/ubicaciones desde el inicio.</w:t>
      </w:r>
    </w:p>
    <w:p>
      <w:r>
        <w:rPr>
          <w:b/>
          <w:color w:val="1E2530"/>
          <w:sz w:val="21"/>
        </w:rPr>
        <w:t xml:space="preserve">RNF-POR-04 — Independencia de proveedor de datos </w:t>
      </w:r>
      <w:r>
        <w:rPr>
          <w:i/>
          <w:color w:val="E8631A"/>
          <w:sz w:val="18"/>
        </w:rPr>
        <w:t>[Opcional]</w:t>
      </w:r>
    </w:p>
    <w:p>
      <w:pPr>
        <w:spacing w:after="160"/>
      </w:pPr>
      <w:r>
        <w:rPr>
          <w:b w:val="0"/>
          <w:i w:val="0"/>
          <w:sz w:val="21"/>
        </w:rPr>
        <w:t>El acceso a datos debe concentrarse en una capa que facilite cambios futuros de infraestructura.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4.7 Cumplimiento y reglas contables</w:t>
      </w:r>
    </w:p>
    <w:p>
      <w:r>
        <w:rPr>
          <w:b/>
          <w:color w:val="1E2530"/>
          <w:sz w:val="21"/>
        </w:rPr>
        <w:t xml:space="preserve">RNF-LEG-01 — Costeo NIC 2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La valorización de existencias debe usar costo promedio ponderado (criterio NIC 2).</w:t>
      </w:r>
    </w:p>
    <w:p>
      <w:r>
        <w:rPr>
          <w:b/>
          <w:color w:val="1E2530"/>
          <w:sz w:val="21"/>
        </w:rPr>
        <w:t xml:space="preserve">RNF-LEG-02 — Moneda local </w:t>
      </w:r>
      <w:r>
        <w:rPr>
          <w:i/>
          <w:color w:val="E8631A"/>
          <w:sz w:val="18"/>
        </w:rPr>
        <w:t>[Imprescindible]</w:t>
      </w:r>
    </w:p>
    <w:p>
      <w:pPr>
        <w:spacing w:after="160"/>
      </w:pPr>
      <w:r>
        <w:rPr>
          <w:b w:val="0"/>
          <w:i w:val="0"/>
          <w:sz w:val="21"/>
        </w:rPr>
        <w:t>Los montos deben expresarse en Soles (S/) con formato peruano.</w:t>
      </w:r>
    </w:p>
    <w:p>
      <w:r>
        <w:rPr>
          <w:b/>
          <w:color w:val="1E2530"/>
          <w:sz w:val="21"/>
        </w:rPr>
        <w:t xml:space="preserve">RNF-LEG-03 — Soporte de comprobantes </w:t>
      </w:r>
      <w:r>
        <w:rPr>
          <w:i/>
          <w:color w:val="E8631A"/>
          <w:sz w:val="18"/>
        </w:rPr>
        <w:t>[Recomendable]</w:t>
      </w:r>
    </w:p>
    <w:p>
      <w:pPr>
        <w:spacing w:after="160"/>
      </w:pPr>
      <w:r>
        <w:rPr>
          <w:b w:val="0"/>
          <w:i w:val="0"/>
          <w:sz w:val="21"/>
        </w:rPr>
        <w:t>Los movimientos deben permitir registrar número de comprobante (factura, boleta, guía).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4.8 Disponibilidad y respaldo</w:t>
      </w:r>
    </w:p>
    <w:p>
      <w:r>
        <w:rPr>
          <w:b/>
          <w:color w:val="1E2530"/>
          <w:sz w:val="21"/>
        </w:rPr>
        <w:t xml:space="preserve">RNF-DIS-01 — Disponibilidad </w:t>
      </w:r>
      <w:r>
        <w:rPr>
          <w:i/>
          <w:color w:val="E8631A"/>
          <w:sz w:val="18"/>
        </w:rPr>
        <w:t>[Recomendable]</w:t>
      </w:r>
    </w:p>
    <w:p>
      <w:pPr>
        <w:spacing w:after="160"/>
      </w:pPr>
      <w:r>
        <w:rPr>
          <w:b w:val="0"/>
          <w:i w:val="0"/>
          <w:sz w:val="21"/>
        </w:rPr>
        <w:t>El sistema debe estar disponible en horario operativo de la empresa, sujeto a la disponibilidad del proveedor de nube.</w:t>
      </w:r>
    </w:p>
    <w:p>
      <w:r>
        <w:rPr>
          <w:b/>
          <w:color w:val="1E2530"/>
          <w:sz w:val="21"/>
        </w:rPr>
        <w:t xml:space="preserve">RNF-DIS-02 — Respaldo de datos </w:t>
      </w:r>
      <w:r>
        <w:rPr>
          <w:i/>
          <w:color w:val="E8631A"/>
          <w:sz w:val="18"/>
        </w:rPr>
        <w:t>[Recomendable]</w:t>
      </w:r>
    </w:p>
    <w:p>
      <w:pPr>
        <w:spacing w:after="160"/>
      </w:pPr>
      <w:r>
        <w:rPr>
          <w:b w:val="0"/>
          <w:i w:val="0"/>
          <w:sz w:val="21"/>
        </w:rPr>
        <w:t>La base de datos debe contar con respaldos automáticos provistos por la plataforma gestionada.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631A"/>
          <w:sz w:val="34"/>
        </w:rPr>
        <w:t>5. Modelo de datos (resumen)</w:t>
      </w:r>
    </w:p>
    <w:p>
      <w:pPr>
        <w:spacing w:after="120"/>
      </w:pPr>
      <w:r>
        <w:rPr>
          <w:b w:val="0"/>
          <w:i w:val="0"/>
          <w:sz w:val="21"/>
        </w:rPr>
        <w:t>El modelo sigue el patrón ERP de tres capas. A continuación, las entidades principales agrupadas por esquema.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247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Esquema</w:t>
            </w:r>
          </w:p>
        </w:tc>
        <w:tc>
          <w:tcPr>
            <w:tcW w:type="dxa" w:w="3061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4762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seg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T_Rol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Roles del sistema.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seg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T_Usuario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Usuarios operativos vinculados a Auth, con su rol.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seg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T_RolModulo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Asignación de módulos visibles por rol (RBAC configurable).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comun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T_UnidadMedida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Unidades de medida (LT, KG, UND…).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T_Categoria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Categorías/familias jerárquicas de productos.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T_Producto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Catálogo de productos (con compatibilidad e imágenes).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T_TipoEquipo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Tipos de equipo para compatibilidad de repuestos.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T_Equipo / T_Vehiculo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Equipos y vehículos (placas).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T_Ubicacion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Almacenes/ubicaciones (multi-almacén).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T_Proveedor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Proveedores y sus cuentas bancarias.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T_DocumentoInventario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Cabecera de documentos de inventario.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T_DocumentoInventarioDetalle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Líneas de cada documento.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T_MovimientoStock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Libro mayor de movimientos (append-only, inmutable).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T_SaldoStock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Caché de saldos por producto y ubicación.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T_Requerimiento / Detalle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Requerimientos de materiales y sus líneas.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T_OrdenMantenimiento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Órdenes de trabajo y consumos asociados.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inv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T_Importacion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Registro de importaciones masivas.</w:t>
            </w:r>
          </w:p>
        </w:tc>
      </w:tr>
    </w:tbl>
    <w:p/>
    <w:p>
      <w:pPr>
        <w:spacing w:after="120"/>
      </w:pPr>
      <w:r>
        <w:rPr>
          <w:b w:val="0"/>
          <w:i/>
          <w:color w:val="5B6573"/>
          <w:sz w:val="21"/>
        </w:rPr>
        <w:t>Funciones clave de la BD: FnConfirmarDocumentoInventario (genera movimientos), FnGuardarProducto (valida compatibilidad), FnImportarProductos / FnImportarSaldosIniciales (importación validada), FnModulosUsuario y FnRolUsuario (control de acceso). Triggers mantienen la caché de saldos, el costo promedio y la auditoría.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E8631A"/>
          <w:sz w:val="34"/>
        </w:rPr>
        <w:t>6. Anexos</w:t>
      </w:r>
    </w:p>
    <w:p>
      <w:pPr>
        <w:pStyle w:val="Heading2"/>
      </w:pPr>
      <w:r>
        <w:rPr>
          <w:rFonts w:ascii="Calibri" w:hAnsi="Calibri"/>
          <w:color w:val="E8631A"/>
          <w:sz w:val="28"/>
        </w:rPr>
        <w:t>6.1 Matriz de acceso por módulo (rol → módulo)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835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1531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531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Gerencia</w:t>
            </w:r>
          </w:p>
        </w:tc>
        <w:tc>
          <w:tcPr>
            <w:tcW w:type="dxa" w:w="1644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Supervisión</w:t>
            </w:r>
          </w:p>
        </w:tc>
        <w:tc>
          <w:tcPr>
            <w:tcW w:type="dxa" w:w="1531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Almacenero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Dashboard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644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Saldos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644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Catálogo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644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Movimientos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644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Requerimientos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644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Mantenimiento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644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Aprobaciones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644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Reportes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644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Importar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644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Maestros (general)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644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Maestros · Proveedores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1644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No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6.2 Matriz de permisos de escritura (rol → recurso)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041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Permiso</w:t>
            </w:r>
          </w:p>
        </w:tc>
        <w:tc>
          <w:tcPr>
            <w:tcW w:type="dxa" w:w="4082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Recurso protegido</w:t>
            </w:r>
          </w:p>
        </w:tc>
        <w:tc>
          <w:tcPr>
            <w:tcW w:type="dxa" w:w="2948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Roles con escritura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productoEscritura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Productos, imágenes, equipos, vehículos, tipos, proveedores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admin, almacenero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documentoEscritura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Documentos de inventario (entradas/salidas/transferencias)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catalogoAdmin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Categorías, almacenes, cargos, personal, usuarios, importación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requerimientoCrear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Crear requerimientos y órdenes de mantenimiento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admin, almacenero, supervisión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requerimientoAprobar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Atender/rechazar requerimientos; reconciliar OT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admin, gerencia, supervisión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6.3 Diccionario de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381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Entidad</w:t>
            </w:r>
          </w:p>
        </w:tc>
        <w:tc>
          <w:tcPr>
            <w:tcW w:type="dxa" w:w="3061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Estados</w:t>
            </w:r>
          </w:p>
        </w:tc>
        <w:tc>
          <w:tcPr>
            <w:tcW w:type="dxa" w:w="3628"/>
            <w:shd w:val="clear" w:color="auto" w:fill="1E2530"/>
          </w:tcPr>
          <w:p>
            <w:r/>
            <w:r>
              <w:rPr>
                <w:b/>
                <w:color w:val="FFFFFF"/>
                <w:sz w:val="19"/>
              </w:rPr>
              <w:t>Transiciones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Documento de inventario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borrador → confirmado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Se confirma al registrar; se revierte por anulación.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Requerimiento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pendiente → atendido | anulado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Atender (con entrega) o rechazar.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Orden de mantenimiento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abierta → consumida → cerrada | anulada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Consumir, reconciliar (cerrar) o rechazar (anular + reversa).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8631A"/>
          <w:sz w:val="28"/>
        </w:rPr>
        <w:t>6.4 Reglas de negocio destacadas</w:t>
      </w:r>
    </w:p>
    <w:p>
      <w:pPr>
        <w:pStyle w:val="ListBullet"/>
      </w:pPr>
      <w:r>
        <w:t>El libro mayor de movimientos es inmutable; toda corrección se hace por anulación.</w:t>
      </w:r>
    </w:p>
    <w:p>
      <w:pPr>
        <w:pStyle w:val="ListBullet"/>
      </w:pPr>
      <w:r>
        <w:t>Ningún movimiento puede dejar saldo negativo por producto y ubicación.</w:t>
      </w:r>
    </w:p>
    <w:p>
      <w:pPr>
        <w:pStyle w:val="ListBullet"/>
      </w:pPr>
      <w:r>
        <w:t>Un producto es «general» (todos los equipos) o aplica a uno o más tipos, nunca ambos.</w:t>
      </w:r>
    </w:p>
    <w:p>
      <w:pPr>
        <w:pStyle w:val="ListBullet"/>
      </w:pPr>
      <w:r>
        <w:t>Las salidas exigen placa destino; las transferencias, origen y destino distintos.</w:t>
      </w:r>
    </w:p>
    <w:p>
      <w:pPr>
        <w:pStyle w:val="ListBullet"/>
      </w:pPr>
      <w:r>
        <w:t>Las salidas se valorizan al costo promedio vigente; la compra directa recalcula el promedio resultante.</w:t>
      </w:r>
    </w:p>
    <w:p>
      <w:pPr>
        <w:pStyle w:val="ListBullet"/>
      </w:pPr>
      <w:r>
        <w:t>Quien crea un requerimiento no puede aprobarlo (salvo el administrador).</w:t>
      </w:r>
    </w:p>
    <w:p>
      <w:pPr>
        <w:pStyle w:val="ListBullet"/>
      </w:pPr>
      <w:r>
        <w:t>El consumo de repuestos descuenta stock de inmediato y queda pendiente de reconciliación.</w:t>
      </w:r>
    </w:p>
    <w:p>
      <w:pPr>
        <w:pStyle w:val="ListBullet"/>
      </w:pPr>
      <w:r>
        <w:t>Las importaciones son todo-o-nada con reporte de errores por fila.</w:t>
      </w:r>
    </w:p>
    <w:p/>
    <w:p>
      <w:pPr>
        <w:spacing w:after="120"/>
        <w:jc w:val="center"/>
      </w:pPr>
      <w:r>
        <w:rPr>
          <w:b w:val="0"/>
          <w:i/>
          <w:color w:val="5B6573"/>
          <w:sz w:val="21"/>
        </w:rPr>
        <w:t>— Fin del documento —</w:t>
      </w:r>
    </w:p>
    <w:p>
      <w:pPr>
        <w:spacing w:after="120"/>
        <w:jc w:val="center"/>
      </w:pPr>
      <w:r>
        <w:rPr>
          <w:b w:val="0"/>
          <w:i w:val="0"/>
          <w:color w:val="5B6573"/>
          <w:sz w:val="16"/>
        </w:rPr>
        <w:t>Especificación de Requisitos · Sistema de Gestión de Inventario JJ Congeminco · v1.0 · Junio 2026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JJ Congeminco — ERS Sistema de Inventario   |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