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Livedyne Mission Statement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Livedyne is a breakthrough Poly(ATP)-ribose compound synthesised by our proprietary photonreactor. It’s unique because it’s 100% bioavailable to any living cell.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Stem cells have a special relationship to the bodies’ energy &amp; signalling molecule ATP : it’s the difference between viable cell production and problematic growth.  Livedyne has confirmed results in stem cells from cartillage to neurons pointing to its absolute centrality in a variety of therapeutics </w:t>
      </w:r>
      <w:r>
        <w:rPr/>
        <w:t xml:space="preserve">from </w:t>
      </w:r>
      <w:r>
        <w:rPr/>
        <w:t xml:space="preserve">immuno-imbalance </w:t>
      </w:r>
      <w:r>
        <w:rPr/>
        <w:t>to the root causes of neural dysfunction</w:t>
      </w:r>
      <w:r>
        <w:rPr/>
        <w:t xml:space="preserve">, </w:t>
      </w:r>
      <w:r>
        <w:rPr/>
        <w:t>biofabrication</w:t>
      </w:r>
      <w:r>
        <w:rPr/>
        <w:t xml:space="preserve"> , </w:t>
      </w:r>
      <w:r>
        <w:rPr/>
        <w:t xml:space="preserve">organ </w:t>
      </w:r>
      <w:r>
        <w:rPr/>
        <w:t>transplant</w:t>
      </w:r>
      <w:r>
        <w:rPr/>
        <w:t>s &amp;</w:t>
      </w:r>
      <w:r>
        <w:rPr/>
        <w:t xml:space="preserve"> wound healing, liver </w:t>
      </w:r>
      <w:r>
        <w:rPr/>
        <w:t>&amp;</w:t>
      </w:r>
      <w:r>
        <w:rPr/>
        <w:t xml:space="preserve"> kidney regeneration, </w:t>
      </w:r>
      <w:r>
        <w:rPr/>
        <w:t xml:space="preserve">and more such as retinal tissue and vessicles, </w:t>
      </w:r>
      <w:bookmarkStart w:id="0" w:name="screen-reader-main-title"/>
      <w:bookmarkEnd w:id="0"/>
      <w:r>
        <w:rPr/>
        <w:t>tympanic membrane</w:t>
      </w:r>
      <w:r>
        <w:rPr/>
        <w:t>s</w:t>
      </w:r>
      <w:r>
        <w:rPr/>
        <w:t xml:space="preserve">, </w:t>
      </w:r>
      <w:r>
        <w:rPr/>
        <w:t>and bone –</w:t>
      </w:r>
      <w:r>
        <w:rPr/>
        <w:t xml:space="preserve"> from popular indications to orphan diseases.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expect Livedyne to be used to preserve, transfer and assure viability for organs. The Livedyne substance can preserve the organ as well as lengthen its life.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expect Livedyne to be used in various IA therapies for example to treat osteo-artheritis. Targetted Livedyne delivery is easy to do and is expected to have complete regenerative effects.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 have confirmed results in cartillage cell growth , outclassing existing protocols by a factor of 4. </w:t>
      </w:r>
      <w:r>
        <w:rPr/>
        <w:t xml:space="preserve">We expect Livedyne to be used in various biofabrication applications </w:t>
      </w:r>
      <w:r>
        <w:rPr/>
        <w:t xml:space="preserve">from its addition to scaffolds to its role to optimise growth rates.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 expect to confirm our hypothesis in neuron cells : that energy pathways (eg Fragile X syndrome) in cells and mitochondria can be restored to behave as in controls.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52"/>
          <w:szCs w:val="52"/>
        </w:rPr>
      </w:pPr>
      <w:r>
        <w:rPr>
          <w:sz w:val="52"/>
          <w:szCs w:val="52"/>
        </w:rPr>
        <w:t>The Story So Far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Notable scientists as well as the largest pharmaceuticals have expressed their explicit interest in pursuing a variety of avenues with Livedyne. </w:t>
      </w:r>
      <w:r>
        <w:rPr/>
        <w:t>S</w:t>
      </w:r>
      <w:r>
        <w:rPr/>
        <w:t>o many people have offered us their support to develop various vertic</w:t>
      </w:r>
      <w:r>
        <w:rPr/>
        <w:t>als</w:t>
      </w:r>
      <w:r>
        <w:rPr/>
        <w:t xml:space="preserve"> in different fields of medicine from research to production environments.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Research scientists have been surprised how easy it is to work with , being able to run short and fundamental confirmatory studies, and the ease of integrating it with cutting edge scaffolding and microbead techiques.</w:t>
      </w:r>
      <w:r>
        <w:rPr/>
        <w:t xml:space="preserve"> </w:t>
      </w:r>
      <w:r>
        <w:rPr/>
        <w:t xml:space="preserve">Large allograph producers and organ storage centres have been impressed with auditable results in terms of what this can do for them. </w:t>
      </w:r>
      <w:r>
        <w:rPr/>
        <w:t xml:space="preserve">Folks have been begging us to open a clinic for year-long therapies and cures. </w:t>
      </w:r>
      <w:r>
        <w:rPr/>
        <w:t xml:space="preserve">We’re currently going with an industrial organ biofabrication and (human?) meat production route via the ARMI consortium.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52"/>
          <w:szCs w:val="52"/>
        </w:rPr>
      </w:pPr>
      <w:r>
        <w:rPr>
          <w:sz w:val="52"/>
          <w:szCs w:val="52"/>
        </w:rPr>
        <w:t>Motivation for Birthing a New Asset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All highly industrialised , highly regulated value chains such as biofabrication and therapy production environments sometimes operate from fossil fuels or with other subsidized pollutants. </w:t>
      </w:r>
      <w:r>
        <w:rPr/>
        <w:t xml:space="preserve"> </w:t>
      </w:r>
      <w:r>
        <w:rPr/>
        <w:t xml:space="preserve">In </w:t>
      </w:r>
      <w:r>
        <w:rPr/>
        <w:t>fact</w:t>
      </w:r>
      <w:r>
        <w:rPr/>
        <w:t xml:space="preserve">, crypto uses </w:t>
      </w:r>
      <w:r>
        <w:rPr/>
        <w:t>huge amounts of subsidized and polluting</w:t>
      </w:r>
      <w:r>
        <w:rPr/>
        <w:t xml:space="preserve"> electricity </w:t>
      </w:r>
      <w:r>
        <w:rPr/>
        <w:t xml:space="preserve">in many countries from the United States to Nigeria. </w:t>
      </w:r>
      <w:r>
        <w:rPr/>
        <w:t xml:space="preserve"> </w:t>
      </w:r>
      <w:r>
        <w:rPr/>
        <w:t xml:space="preserve">This will eventually lead to inflationary trends in central bank currencies concurrent with climate-change-induced disruptions and strife. </w:t>
      </w:r>
      <w:r>
        <w:rPr/>
        <w:t xml:space="preserve">Yet, </w:t>
      </w:r>
      <w:r>
        <w:rPr/>
        <w:t xml:space="preserve">access to products that use Livedyne will remain highly prized. </w:t>
      </w:r>
      <w:r>
        <w:rPr/>
        <w:t xml:space="preserve"> </w:t>
      </w:r>
      <w:r>
        <w:rPr/>
        <w:t xml:space="preserve">We want to assure that anyone can purchase organs, treatments and care regardless of the inevitable disruptions wrought by climate change compounded by overeliance on obsolete energy and monetary policy.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Definitions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LIFECells are atributed verticals of the Livedyne Company Network.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STEM Stations are machine deployments that host trading and services to the network such as </w:t>
      </w:r>
      <w:r>
        <w:rPr/>
        <w:t>charge of airdrops and buybacks.</w:t>
      </w:r>
      <w:r>
        <w:rPr/>
        <w:t xml:space="preserve">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BASE Stations are machine deployments that host transactions and mining+staking.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station weights are calculated based on up time and capacity and bandwidth continuously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Transaction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Efficiency (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TxE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) and Energy Efficiency (EE) are important performance metrics that guide the optimization of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LIFECell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networks.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LIFECell Network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LIFECell is a Pareto front efficient cryptocurrency network. This system’s purpose is to </w:t>
      </w:r>
      <w:r>
        <w:rPr/>
        <w:t xml:space="preserve">provide an </w:t>
      </w:r>
      <w:commentRangeStart w:id="0"/>
      <w:r>
        <w:rPr/>
        <w:t>unalienable way for lifescience investors to buy LifeCell tokens for use in the Livedyne Ecosystem</w:t>
      </w:r>
      <w:r>
        <w:rPr/>
      </w:r>
      <w:commentRangeEnd w:id="0"/>
      <w:r>
        <w:commentReference w:id="0"/>
      </w:r>
      <w:r>
        <w:rPr/>
        <w:t xml:space="preserve">. This will be done </w:t>
      </w:r>
      <w:r>
        <w:rPr/>
        <w:t>through the regular deployment of LIFECell STEM Stations and BASE Stations within LIFECells.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Once LIFECells are established Their core STEM and BASE Stations will be established within those verticals to assure circulating supply. 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>STEM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>S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>tations and BASE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>St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ations exploitation rights are 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also 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for sale for nominal fees of 10000000 and 1000000 LIFECell Coins. These nodes are expected to process more of the network transactions 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>and be driven by experienced informatitians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.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BASEStations must report their true location and IP addresses for the STEMStations to attribute correct energy efficiecy metrics on a rolling basis based on public traded market information. The consumer price is not taken into account, only the electricity production price is used.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>Transaction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Efficiency (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>TxE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) and Energy Efficiency (EE) are important performance metrics that guide the optimization of 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>LIFECell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networks. Under typical operating conditions, however, they are conflicting objective functions: There exists no single solution that simultaneously optimizes each of them. 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There exist, on the other hand, several optimal solutions for which none of the two objective functions can be improved without degrading the other objective.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>M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ultiobjective optimization problems 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>such as programmatic prioritisation , the frontier between private and public investments , and patient scheduling, may have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Pareto-optimal front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s ,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</w:t>
      </w:r>
      <w:r>
        <w:rPr/>
        <w:t>TxE-</w:t>
      </w:r>
      <w:r>
        <w:rPr/>
        <w:t xml:space="preserve">EE pairs that fulfill the latter optimality condition are referred to as Pareto-optimal solutions, and the corresponding </w:t>
      </w:r>
      <w:r>
        <w:rPr/>
        <w:t>TxE</w:t>
      </w:r>
      <w:r>
        <w:rPr/>
        <w:t xml:space="preserve">-EE curve is known as the Pareto front. </w:t>
      </w:r>
      <w:r>
        <w:rPr/>
        <w:t>A</w:t>
      </w:r>
      <w:r>
        <w:rPr/>
        <w:t xml:space="preserve">ll Pareto-optimal solutions are equally good without any subjective preference information. </w:t>
      </w:r>
      <w:r>
        <w:rPr/>
        <w:t>Therefore</w:t>
      </w:r>
      <w:r>
        <w:rPr/>
        <w:t xml:space="preserve"> the Pareto front </w:t>
      </w:r>
      <w:r>
        <w:rPr/>
        <w:t xml:space="preserve">contains the best transaction (Tx) combinations </w:t>
      </w:r>
      <w:r>
        <w:rPr/>
        <w:t xml:space="preserve">for subsequent (subjective) </w:t>
      </w:r>
      <w:r>
        <w:rPr/>
        <w:t>transactions</w:t>
      </w:r>
      <w:r>
        <w:rPr/>
        <w:t xml:space="preserve">. 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48895</wp:posOffset>
            </wp:positionV>
            <wp:extent cx="6332220" cy="2326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To calculate the Pareto front,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LIFECell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weigh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s transaction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vectors [ a , 1 – a ] for a from 0 through 1.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Then s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olve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s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the goal attainment problem,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by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setting the weights to the various values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according to updated station weights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.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After proof-of-work validated computation,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the tradeoff between the two objective functions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determines the path of the transaction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.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commentRangeStart w:id="1"/>
      <w:commentRangeEnd w:id="1"/>
      <w:r>
        <w:commentReference w:id="1"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321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</w:p>
    <w:p>
      <w:pPr>
        <w:pStyle w:val="Normal"/>
        <w:bidi w:val="0"/>
        <w:jc w:val="left"/>
        <w:rPr/>
      </w:pPr>
      <w:r>
        <w:rPr/>
        <w:commentReference w:id="2"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Coin is issued to miners doing distributed computing</w:t>
      </w:r>
      <w:r>
        <w:rPr/>
        <w:t>.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Protocol revenue is distributed to </w:t>
      </w:r>
      <w:r>
        <w:rPr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Coin</w:t>
      </w:r>
      <w:r>
        <w:rPr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 holders</w:t>
      </w:r>
      <w:r>
        <w:rPr>
          <w:rStyle w:val="FootnoteAnchor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footnoteReference w:id="2"/>
      </w:r>
      <w:r>
        <w:rPr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.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Coin is </w:t>
      </w:r>
      <w:r>
        <w:rPr/>
        <w:t xml:space="preserve">exchanged through nodes that are in charge of airdrops and buybacks.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Investors </w:t>
      </w:r>
      <w:r>
        <w:rPr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will be  able to distribute tokens according to their investment time horizon. 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Coin is </w:t>
      </w:r>
      <w:r>
        <w:rPr/>
        <w:t xml:space="preserve">traded on DEX by coin holders that can use their existing wallets.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Tokenomics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rFonts w:ascii="Nexa;sans-serif" w:hAnsi="Nexa;sans-serif"/>
          <w:b w:val="false"/>
          <w:i w:val="false"/>
          <w:caps w:val="false"/>
          <w:smallCaps w:val="false"/>
          <w:spacing w:val="0"/>
        </w:rPr>
      </w:pPr>
      <w:r>
        <w:rPr>
          <w:rFonts w:ascii="Nexa;sans-serif" w:hAnsi="Nexa;sans-serif"/>
          <w:b w:val="false"/>
          <w:i w:val="false"/>
          <w:caps w:val="false"/>
          <w:smallCaps w:val="false"/>
          <w:spacing w:val="0"/>
        </w:rPr>
        <w:t>Tokenomics</w:t>
      </w:r>
    </w:p>
    <w:p>
      <w:pPr>
        <w:pStyle w:val="Heading3"/>
        <w:widowControl/>
        <w:pBdr/>
        <w:bidi w:val="0"/>
        <w:spacing w:lineRule="auto" w:line="288" w:before="0" w:after="0"/>
        <w:ind w:left="0" w:right="960" w:hanging="0"/>
        <w:jc w:val="left"/>
        <w:rPr>
          <w:rFonts w:ascii="Nexa;sans-serif" w:hAnsi="Nexa;sans-serif"/>
          <w:b w:val="false"/>
          <w:b w:val="false"/>
          <w:bCs w:val="false"/>
          <w:i w:val="false"/>
          <w:caps w:val="false"/>
          <w:smallCaps w:val="false"/>
          <w:color w:val="0B0C27"/>
          <w:spacing w:val="0"/>
          <w:sz w:val="24"/>
        </w:rPr>
      </w:pPr>
      <w:r>
        <w:rPr>
          <w:rFonts w:ascii="Nexa;sans-serif" w:hAnsi="Nexa;sans-serif"/>
          <w:b w:val="false"/>
          <w:bCs w:val="false"/>
          <w:i w:val="false"/>
          <w:caps w:val="false"/>
          <w:smallCaps w:val="false"/>
          <w:color w:val="0B0C27"/>
          <w:spacing w:val="0"/>
          <w:sz w:val="24"/>
        </w:rPr>
        <w:t>15.000 % Team</w:t>
      </w:r>
    </w:p>
    <w:p>
      <w:pPr>
        <w:pStyle w:val="Heading3"/>
        <w:widowControl/>
        <w:pBdr/>
        <w:bidi w:val="0"/>
        <w:spacing w:lineRule="auto" w:line="288" w:before="0" w:after="0"/>
        <w:ind w:left="0" w:right="960" w:hanging="0"/>
        <w:jc w:val="left"/>
        <w:rPr>
          <w:rFonts w:ascii="Nexa;sans-serif" w:hAnsi="Nexa;sans-serif"/>
          <w:b w:val="false"/>
          <w:b w:val="false"/>
          <w:bCs w:val="false"/>
          <w:i w:val="false"/>
          <w:caps w:val="false"/>
          <w:smallCaps w:val="false"/>
          <w:color w:val="0B0C27"/>
          <w:spacing w:val="0"/>
          <w:sz w:val="24"/>
        </w:rPr>
      </w:pPr>
      <w:r>
        <w:rPr>
          <w:rFonts w:eastAsia="NSimSun" w:cs="Lucida Sans" w:ascii="Nexa;sans-serif" w:hAnsi="Nexa;sans-serif"/>
          <w:b w:val="false"/>
          <w:bCs w:val="false"/>
          <w:i w:val="false"/>
          <w:caps w:val="false"/>
          <w:smallCaps w:val="false"/>
          <w:color w:val="0B0C27"/>
          <w:spacing w:val="0"/>
          <w:sz w:val="24"/>
          <w:szCs w:val="28"/>
        </w:rPr>
        <w:t>44</w:t>
      </w:r>
      <w:r>
        <w:rPr>
          <w:rFonts w:eastAsia="NSimSun" w:cs="Lucida Sans" w:ascii="Nexa;sans-serif" w:hAnsi="Nexa;sans-serif"/>
          <w:b w:val="false"/>
          <w:bCs w:val="false"/>
          <w:i w:val="false"/>
          <w:caps w:val="false"/>
          <w:smallCaps w:val="false"/>
          <w:color w:val="0B0C27"/>
          <w:spacing w:val="0"/>
          <w:sz w:val="24"/>
          <w:szCs w:val="28"/>
        </w:rPr>
        <w:t>.000 % DEX</w:t>
      </w:r>
    </w:p>
    <w:p>
      <w:pPr>
        <w:pStyle w:val="Heading3"/>
        <w:widowControl/>
        <w:pBdr/>
        <w:bidi w:val="0"/>
        <w:spacing w:lineRule="auto" w:line="288" w:before="0" w:after="0"/>
        <w:ind w:left="0" w:right="960" w:hanging="0"/>
        <w:jc w:val="left"/>
        <w:rPr>
          <w:rFonts w:ascii="Nexa;sans-serif" w:hAnsi="Nexa;sans-serif"/>
          <w:b w:val="false"/>
          <w:b w:val="false"/>
          <w:bCs w:val="false"/>
          <w:i w:val="false"/>
          <w:caps w:val="false"/>
          <w:smallCaps w:val="false"/>
          <w:color w:val="0B0C27"/>
          <w:spacing w:val="0"/>
          <w:sz w:val="24"/>
        </w:rPr>
      </w:pPr>
      <w:r>
        <w:rPr>
          <w:rFonts w:eastAsia="NSimSun" w:cs="Lucida Sans" w:ascii="Nexa;sans-serif" w:hAnsi="Nexa;sans-serif"/>
          <w:b w:val="false"/>
          <w:bCs w:val="false"/>
          <w:i w:val="false"/>
          <w:caps w:val="false"/>
          <w:smallCaps w:val="false"/>
          <w:color w:val="0B0C27"/>
          <w:spacing w:val="0"/>
          <w:sz w:val="24"/>
          <w:szCs w:val="28"/>
        </w:rPr>
        <w:t>12</w:t>
      </w:r>
      <w:r>
        <w:rPr>
          <w:rFonts w:ascii="Nexa;sans-serif" w:hAnsi="Nexa;sans-serif"/>
          <w:b w:val="false"/>
          <w:bCs w:val="false"/>
          <w:i w:val="false"/>
          <w:caps w:val="false"/>
          <w:smallCaps w:val="false"/>
          <w:color w:val="0B0C27"/>
          <w:spacing w:val="0"/>
          <w:sz w:val="24"/>
        </w:rPr>
        <w:t>.000 % Liquidity</w:t>
      </w:r>
    </w:p>
    <w:p>
      <w:pPr>
        <w:pStyle w:val="Heading3"/>
        <w:widowControl/>
        <w:pBdr/>
        <w:bidi w:val="0"/>
        <w:spacing w:lineRule="auto" w:line="288" w:before="0" w:after="0"/>
        <w:ind w:left="0" w:right="960" w:hanging="0"/>
        <w:jc w:val="left"/>
        <w:rPr>
          <w:rFonts w:ascii="Nexa;sans-serif" w:hAnsi="Nexa;sans-serif"/>
          <w:b w:val="false"/>
          <w:b w:val="false"/>
          <w:bCs w:val="false"/>
          <w:i w:val="false"/>
          <w:caps w:val="false"/>
          <w:smallCaps w:val="false"/>
          <w:color w:val="0B0C27"/>
          <w:spacing w:val="0"/>
          <w:sz w:val="24"/>
        </w:rPr>
      </w:pPr>
      <w:r>
        <w:rPr>
          <w:rFonts w:eastAsia="NSimSun" w:cs="Lucida Sans" w:ascii="Nexa;sans-serif" w:hAnsi="Nexa;sans-serif"/>
          <w:b w:val="false"/>
          <w:bCs w:val="false"/>
          <w:i w:val="false"/>
          <w:caps w:val="false"/>
          <w:smallCaps w:val="false"/>
          <w:color w:val="0B0C27"/>
          <w:spacing w:val="0"/>
          <w:sz w:val="24"/>
          <w:szCs w:val="28"/>
        </w:rPr>
        <w:t>24</w:t>
      </w:r>
      <w:r>
        <w:rPr>
          <w:rFonts w:ascii="Nexa;sans-serif" w:hAnsi="Nexa;sans-serif"/>
          <w:b w:val="false"/>
          <w:bCs w:val="false"/>
          <w:i w:val="false"/>
          <w:caps w:val="false"/>
          <w:smallCaps w:val="false"/>
          <w:color w:val="0B0C27"/>
          <w:spacing w:val="0"/>
          <w:sz w:val="24"/>
        </w:rPr>
        <w:t>.000 % Ecosystem</w:t>
      </w:r>
    </w:p>
    <w:p>
      <w:pPr>
        <w:pStyle w:val="Heading3"/>
        <w:widowControl/>
        <w:pBdr/>
        <w:bidi w:val="0"/>
        <w:spacing w:lineRule="auto" w:line="288" w:before="0" w:after="0"/>
        <w:ind w:left="0" w:right="960" w:hanging="0"/>
        <w:jc w:val="left"/>
        <w:rPr>
          <w:rFonts w:ascii="Nexa;sans-serif" w:hAnsi="Nexa;sans-serif"/>
          <w:b w:val="false"/>
          <w:b w:val="false"/>
          <w:bCs w:val="false"/>
          <w:i w:val="false"/>
          <w:caps w:val="false"/>
          <w:smallCaps w:val="false"/>
          <w:color w:val="0B0C27"/>
          <w:spacing w:val="0"/>
          <w:sz w:val="24"/>
        </w:rPr>
      </w:pPr>
      <w:r>
        <w:rPr>
          <w:rFonts w:ascii="Nexa;sans-serif" w:hAnsi="Nexa;sans-serif"/>
          <w:b w:val="false"/>
          <w:bCs w:val="false"/>
          <w:i w:val="false"/>
          <w:caps w:val="false"/>
          <w:smallCaps w:val="false"/>
          <w:color w:val="0B0C27"/>
          <w:spacing w:val="0"/>
          <w:sz w:val="24"/>
        </w:rPr>
        <w:t>5.000 % Reserve</w:t>
      </w:r>
    </w:p>
    <w:p>
      <w:pPr>
        <w:pStyle w:val="TextBody"/>
        <w:widowControl/>
        <w:pBdr/>
        <w:bidi w:val="0"/>
        <w:spacing w:lineRule="auto" w:line="319" w:before="0" w:after="0"/>
        <w:ind w:left="0" w:right="960" w:hanging="0"/>
        <w:jc w:val="left"/>
        <w:rPr>
          <w:rFonts w:ascii="Nexa;sans-serif" w:hAnsi="Nexa;sans-serif"/>
          <w:b/>
          <w:i w:val="false"/>
          <w:caps w:val="false"/>
          <w:smallCaps w:val="false"/>
          <w:color w:val="0B0C27"/>
          <w:spacing w:val="0"/>
          <w:sz w:val="24"/>
        </w:rPr>
      </w:pPr>
      <w:r>
        <w:rPr>
          <w:rFonts w:ascii="Nexa;sans-serif" w:hAnsi="Nexa;sans-serif"/>
          <w:b/>
          <w:i w:val="false"/>
          <w:caps w:val="false"/>
          <w:smallCaps w:val="false"/>
          <w:color w:val="0B0C27"/>
          <w:spacing w:val="0"/>
          <w:sz w:val="24"/>
        </w:rPr>
      </w:r>
    </w:p>
    <w:p>
      <w:pPr>
        <w:pStyle w:val="TextBody"/>
        <w:widowControl/>
        <w:pBdr/>
        <w:bidi w:val="0"/>
        <w:spacing w:lineRule="auto" w:line="319" w:before="0" w:after="0"/>
        <w:ind w:left="0" w:right="960" w:hanging="0"/>
        <w:jc w:val="left"/>
        <w:rPr>
          <w:rFonts w:ascii="Nexa;sans-serif" w:hAnsi="Nexa;sans-serif"/>
          <w:b/>
          <w:i w:val="false"/>
          <w:caps w:val="false"/>
          <w:smallCaps w:val="false"/>
          <w:color w:val="0B0C27"/>
          <w:spacing w:val="0"/>
          <w:sz w:val="24"/>
        </w:rPr>
      </w:pPr>
      <w:r>
        <w:rPr>
          <w:rFonts w:ascii="Nexa;sans-serif" w:hAnsi="Nexa;sans-serif"/>
          <w:b/>
          <w:i w:val="false"/>
          <w:caps w:val="false"/>
          <w:smallCaps w:val="false"/>
          <w:color w:val="0B0C27"/>
          <w:spacing w:val="0"/>
          <w:sz w:val="24"/>
        </w:rPr>
      </w:r>
    </w:p>
    <w:p>
      <w:pPr>
        <w:pStyle w:val="Normal"/>
        <w:bidi w:val="0"/>
        <w:jc w:val="left"/>
        <w:rPr/>
      </w:pPr>
      <w:r>
        <w:rPr/>
        <w:t>Total token supply : 8,</w:t>
      </w:r>
      <w:r>
        <w:rPr/>
        <w:t>0</w:t>
      </w:r>
      <w:r>
        <w:rPr/>
        <w:t xml:space="preserve">00,000,000 </w:t>
      </w:r>
    </w:p>
    <w:p>
      <w:pPr>
        <w:pStyle w:val="Normal"/>
        <w:bidi w:val="0"/>
        <w:jc w:val="left"/>
        <w:rPr/>
      </w:pPr>
      <w:r>
        <w:rPr/>
        <w:t xml:space="preserve">Reserve </w:t>
      </w:r>
      <w:r>
        <w:rPr/>
        <w:t>: 4</w:t>
      </w:r>
      <w:r>
        <w:rPr/>
        <w:t>00</w:t>
      </w:r>
      <w:r>
        <w:rPr/>
        <w:t>M (</w:t>
      </w:r>
      <w:r>
        <w:rPr/>
        <w:t>5</w:t>
      </w:r>
      <w:r>
        <w:rPr/>
        <w:t xml:space="preserve">%) </w:t>
      </w:r>
    </w:p>
    <w:p>
      <w:pPr>
        <w:pStyle w:val="Normal"/>
        <w:bidi w:val="0"/>
        <w:jc w:val="left"/>
        <w:rPr/>
      </w:pPr>
      <w:r>
        <w:rPr/>
        <w:t xml:space="preserve">Supply on DEX : </w:t>
      </w:r>
      <w:r>
        <w:rPr/>
        <w:t>3</w:t>
      </w:r>
      <w:r>
        <w:rPr/>
        <w:t>,</w:t>
      </w:r>
      <w:r>
        <w:rPr/>
        <w:t>52</w:t>
      </w:r>
      <w:r>
        <w:rPr/>
        <w:t>0,000,000</w:t>
      </w:r>
    </w:p>
    <w:p>
      <w:pPr>
        <w:pStyle w:val="Normal"/>
        <w:bidi w:val="0"/>
        <w:jc w:val="left"/>
        <w:rPr/>
      </w:pPr>
      <w:r>
        <w:rPr/>
        <w:t xml:space="preserve">market cap on </w:t>
      </w:r>
      <w:r>
        <w:rPr/>
        <w:t>DEX</w:t>
      </w:r>
      <w:r>
        <w:rPr/>
        <w:t xml:space="preserve"> : </w:t>
      </w:r>
      <w:r>
        <w:rPr/>
        <w:t>$</w:t>
      </w:r>
      <w:r>
        <w:rPr/>
        <w:t>80,000,000</w:t>
      </w:r>
    </w:p>
    <w:p>
      <w:pPr>
        <w:pStyle w:val="Normal"/>
        <w:bidi w:val="0"/>
        <w:jc w:val="left"/>
        <w:rPr/>
      </w:pPr>
      <w:r>
        <w:rPr/>
        <w:t>Dex Liquidity: $21,818,181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Token Distribution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021"/>
        <w:gridCol w:w="1800"/>
        <w:gridCol w:w="1452"/>
        <w:gridCol w:w="1425"/>
        <w:gridCol w:w="1423"/>
      </w:tblGrid>
      <w:tr>
        <w:trPr/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Allocation%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Price$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 #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Cap, $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Lockup (Cliff)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Vesting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Private Sale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%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0.01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%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0.015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Public Sale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44</w:t>
            </w:r>
            <w:r>
              <w:rPr/>
              <w:t>%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0.02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3</w:t>
            </w:r>
            <w:r>
              <w:rPr/>
              <w:t>,</w:t>
            </w:r>
            <w:r>
              <w:rPr/>
              <w:t>52</w:t>
            </w:r>
            <w:r>
              <w:rPr/>
              <w:t>0,000,000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$80,000,000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Liquidity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  <w:r>
              <w:rPr/>
              <w:t>%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0.03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960,000,000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$21,818,182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Team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15</w:t>
            </w:r>
            <w:r>
              <w:rPr/>
              <w:t>%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0.03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1,200,000,000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$27,272,727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Advisory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  <w:r>
              <w:rPr/>
              <w:t>%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0.03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640,000,000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$14,545,455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Partners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15</w:t>
            </w:r>
            <w:r>
              <w:rPr/>
              <w:t>%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0.03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1,200,000,000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$27,272,727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Community + marketting 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  <w:r>
              <w:rPr/>
              <w:t>%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0.03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720,000,000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$16,363,636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Incentive Program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%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0.03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100%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$181,818,182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426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Milestones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1"/>
        <w:gridCol w:w="1662"/>
        <w:gridCol w:w="1662"/>
        <w:gridCol w:w="1662"/>
        <w:gridCol w:w="1662"/>
        <w:gridCol w:w="1663"/>
      </w:tblGrid>
      <w:tr>
        <w:trPr/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Q22022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Q32022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Q42022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Q12023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Q22023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Q32023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bidi w:val="0"/>
              <w:ind w:left="449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NFT + Token issuance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bidi w:val="0"/>
              <w:ind w:left="449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LIFECell IDO &amp; mobile app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bidi w:val="0"/>
              <w:ind w:left="449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incorporation &amp; establishment of the Neuro LIFECell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bidi w:val="0"/>
              <w:ind w:left="449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Voting on the next LIFECell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bidi w:val="0"/>
              <w:ind w:left="449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open STEM Stations and BASE Stations 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4"/>
              </w:num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Establishment of either Cartilage production cell or Osteoartheritis Cell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Seconding NFT + Token Issuance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bidi w:val="0"/>
              <w:ind w:left="449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Voting on the next LIFECell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bidi w:val="0"/>
              <w:ind w:left="449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Air Drops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bidi w:val="0"/>
              <w:ind w:left="449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Voting on the next LIFECell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bidi w:val="0"/>
              <w:ind w:left="449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Air Drops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bidi w:val="0"/>
              <w:ind w:left="449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Voting on the next LIFECell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bidi w:val="0"/>
              <w:ind w:left="449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Air Drops</w:t>
            </w:r>
          </w:p>
        </w:tc>
      </w:tr>
    </w:tbl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Token functions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sz w:val="24"/>
          <w:szCs w:val="24"/>
        </w:rPr>
        <w:t xml:space="preserve">Deflationary Tokenomics - </w:t>
      </w:r>
      <w:r>
        <w:rPr/>
        <w:t xml:space="preserve">Each transaction on the social network charges a commission from the user. </w:t>
      </w:r>
      <w:r>
        <w:rPr/>
        <w:t>Part of the</w:t>
      </w:r>
      <w:r>
        <w:rPr/>
        <w:t xml:space="preserve"> commission is directed to the burning of coins. Since coins are issued only once, there is no inflation model, the number of coins will constantly decrease.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Governance - </w:t>
      </w:r>
      <w:r>
        <w:rPr/>
        <w:t xml:space="preserve">All stakeholders can </w:t>
      </w:r>
      <w:r>
        <w:rPr/>
        <w:t xml:space="preserve">vote for 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programmatic prioritisation , 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>(their own)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patient scheduling 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>&amp;</w:t>
      </w:r>
      <w:r>
        <w:rPr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</w:t>
      </w:r>
      <w:r>
        <w:rPr/>
        <w:t xml:space="preserve">vote for new </w:t>
      </w:r>
      <w:r>
        <w:rPr/>
        <w:t>Cells</w:t>
      </w:r>
      <w:r>
        <w:rPr/>
        <w:t xml:space="preserve"> that will be added to the </w:t>
      </w:r>
      <w:r>
        <w:rPr/>
        <w:t>eco-</w:t>
      </w:r>
      <w:r>
        <w:rPr/>
        <w:t xml:space="preserve">system to make </w:t>
      </w:r>
      <w:r>
        <w:rPr/>
        <w:t>LIFECell</w:t>
      </w:r>
      <w:r>
        <w:rPr/>
        <w:t xml:space="preserve"> more attractive to new users.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Staking – Stakeholders receive LIFECell coins</w:t>
      </w:r>
      <w:r>
        <w:rPr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 according to their investment time horizon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Trading – </w:t>
      </w:r>
      <w:r>
        <w:rPr/>
        <w:t xml:space="preserve">LIFECell coins can buy priviledged </w:t>
      </w:r>
      <w:r>
        <w:rPr/>
        <w:t xml:space="preserve">access to care, therapy and organ growth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Potential LIFECells 2022 – 2024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clinic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injectable treatment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(human?) meat production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biofabrication – cartilage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liver and kidney regeneration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autism , fragile x, huntingtons , parkinsons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auto-immune diseases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retinal regeneration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auditory conduit regeneration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bone manufacturing 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heart biofabrication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footnotePr>
        <w:numFmt w:val="decimal"/>
      </w:footnote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2-04-01T17:37:51Z" w:initials="">
    <w:p>
      <w:r>
        <w:rPr>
          <w:rFonts w:ascii="Liberation Serif" w:hAnsi="Liberation Serif" w:eastAsia="NSimSun" w:cs="Lucida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 xml:space="preserve"> fund &amp; sustain Livedyne Company Companies  through </w:t>
      </w:r>
    </w:p>
  </w:comment>
  <w:comment w:id="2" w:author="Unknown Author" w:date="2022-04-01T17:25:14Z" w:initials="">
    <w:p>
      <w:r>
        <w:rPr>
          <w:rFonts w:ascii="Liberation Serif" w:hAnsi="Liberation Serif" w:eastAsia="NSimSun" w:cs="Lucida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Figure should be flipped to show evolution TOWARD “reticulate archetype”</w:t>
      </w:r>
    </w:p>
    <w:p>
      <w:r>
        <w:rPr>
          <w:rFonts w:eastAsia="Segoe UI" w:cs="Tahoma"/>
          <w:kern w:val="0"/>
          <w:lang w:val="en-US" w:eastAsia="en-US" w:bidi="en-US"/>
        </w:rPr>
      </w:r>
    </w:p>
    <w:p>
      <w:r>
        <w:rPr>
          <w:rFonts w:ascii="Liberation Serif" w:hAnsi="Liberation Serif" w:eastAsia="NSimSun" w:cs="Lucida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 xml:space="preserve">The text need to be extracted and orientated toward LIFECell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  <w:font w:name="Nexa">
    <w:altName w:val="sans-serif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bidi w:val="0"/>
        <w:jc w:val="left"/>
        <w:rPr/>
      </w:pPr>
      <w:r>
        <w:rPr>
          <w:rStyle w:val="FootnoteCharacters"/>
        </w:rPr>
        <w:footnoteRef/>
      </w:r>
      <w:r>
        <w:rPr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so our </w:t>
      </w:r>
      <w:r>
        <w:rPr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Coin</w:t>
      </w:r>
      <w:r>
        <w:rPr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 has a clear use case from day 1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otnotes" Target="footnotes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LibreOffice/7.2.2.2$Windows_X86_64 LibreOffice_project/02b2acce88a210515b4a5bb2e46cbfb63fe97d56</Application>
  <AppVersion>15.0000</AppVersion>
  <Pages>6</Pages>
  <Words>1318</Words>
  <Characters>7314</Characters>
  <CharactersWithSpaces>8493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2022-04-01T00:11:17Z</dcterms:created>
  <dc:creator/>
  <dc:description/>
  <dc:language>en-US</dc:language>
  <cp:lastModifiedBy/>
  <dcterms:modified xsi:type="dcterms:W3CDTF">2022-04-23T21:32:39Z</dcterms:modified>
  <cp:revision>4</cp:revision>
  <dc:subject/>
  <dc:title/>
</cp:coreProperties>
</file>