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FirstParagraph"/>
      </w:pPr>
      <w:r>
        <w:t xml:space="preserve">CONFIDENCIAL — MundoSocios CChC · Borrador para revisión</w:t>
      </w:r>
    </w:p>
    <w:bookmarkStart w:id="40" w:name="X247b3eba0c6c7918e3d2d24b57488eab87b9443"/>
    <w:p>
      <w:pPr>
        <w:pStyle w:val="Heading1"/>
      </w:pPr>
      <w:r>
        <w:t xml:space="preserve">Blueprint — Devengo, Recaudación, Cobranza y Conciliación</w:t>
      </w:r>
    </w:p>
    <w:p>
      <w:pPr>
        <w:pStyle w:val="FirstParagraph"/>
      </w:pPr>
      <w:r>
        <w:rPr>
          <w:bCs/>
          <w:b/>
        </w:rPr>
        <w:t xml:space="preserve">Cuota Social y Primas de Seguros — Insumo para Odoo Enterprise</w:t>
      </w:r>
      <w:r>
        <w:t xml:space="preserve"> </w:t>
      </w:r>
      <w:r>
        <w:rPr>
          <w:bCs/>
          <w:b/>
        </w:rPr>
        <w:t xml:space="preserve">Proyecto:</w:t>
      </w:r>
      <w:r>
        <w:t xml:space="preserve"> </w:t>
      </w:r>
      <w:r>
        <w:t xml:space="preserve">Implementación Odoo Enterprise — MundoSocios CChC ·</w:t>
      </w:r>
      <w:r>
        <w:t xml:space="preserve"> </w:t>
      </w:r>
      <w:r>
        <w:rPr>
          <w:bCs/>
          <w:b/>
        </w:rPr>
        <w:t xml:space="preserve">Fase:</w:t>
      </w:r>
      <w:r>
        <w:t xml:space="preserve"> </w:t>
      </w:r>
      <w:r>
        <w:t xml:space="preserve">Fase 0 — Levantamiento y Diseño</w:t>
      </w:r>
      <w:r>
        <w:t xml:space="preserve"> </w:t>
      </w:r>
      <w:r>
        <w:rPr>
          <w:bCs/>
          <w:b/>
        </w:rPr>
        <w:t xml:space="preserve">Fuentes:</w:t>
      </w:r>
      <w:r>
        <w:t xml:space="preserve"> </w:t>
      </w:r>
      <w:r>
        <w:t xml:space="preserve">Oriana Romero (Recaudación), Patricio Fernández (Adm. y Finanzas), Marcos Ibarra (Adm. y Control de Gestión), manuales operativos, archivos productivos de</w:t>
      </w:r>
      <w:r>
        <w:t xml:space="preserve"> </w:t>
      </w:r>
      <w:r>
        <w:rPr>
          <w:rStyle w:val="VerbatimChar"/>
        </w:rPr>
        <w:t xml:space="preserve">FLUJOS DE PROCESO/RECAUDACIÓN Y COBRANZA/</w:t>
      </w:r>
      <w:r>
        <w:t xml:space="preserve"> </w:t>
      </w:r>
      <w:r>
        <w:rPr>
          <w:bCs/>
          <w:b/>
        </w:rPr>
        <w:t xml:space="preserve">Elaborado por:</w:t>
      </w:r>
      <w:r>
        <w:t xml:space="preserve"> </w:t>
      </w:r>
      <w:r>
        <w:t xml:space="preserve">JR Jottar Consultoría ·</w:t>
      </w:r>
      <w:r>
        <w:t xml:space="preserve"> </w:t>
      </w:r>
      <w:r>
        <w:rPr>
          <w:bCs/>
          <w:b/>
        </w:rPr>
        <w:t xml:space="preserve">Versión:</w:t>
      </w:r>
      <w:r>
        <w:t xml:space="preserve"> </w:t>
      </w:r>
      <w:r>
        <w:t xml:space="preserve">2.0 — 2026-07-08 · Borrador para validación</w:t>
      </w:r>
    </w:p>
    <w:bookmarkStart w:id="20" w:name="Xc713f4059cdd467f38f1e39a7add3353e9c307f"/>
    <w:p>
      <w:pPr>
        <w:pStyle w:val="Heading3"/>
      </w:pPr>
      <w:r>
        <w:t xml:space="preserve">Registro de cambios v2.0 (respecto de v1.0, julio 2026)</w:t>
      </w:r>
    </w:p>
    <w:p>
      <w:pPr>
        <w:numPr>
          <w:ilvl w:val="0"/>
          <w:numId w:val="1001"/>
        </w:numPr>
        <w:pStyle w:val="Compact"/>
      </w:pPr>
      <w:r>
        <w:t xml:space="preserve">Valores y cuentas de cuota social corregidos y</w:t>
      </w:r>
      <w:r>
        <w:t xml:space="preserve"> </w:t>
      </w:r>
      <w:r>
        <w:rPr>
          <w:bCs/>
          <w:b/>
        </w:rPr>
        <w:t xml:space="preserve">verificados contra los archivos productivos</w:t>
      </w:r>
      <w:r>
        <w:t xml:space="preserve"> </w:t>
      </w:r>
      <w:r>
        <w:t xml:space="preserve">(</w:t>
      </w:r>
      <w:r>
        <w:rPr>
          <w:rStyle w:val="VerbatimChar"/>
        </w:rPr>
        <w:t xml:space="preserve">DEVENGO CUOTA SOCIAL * ENE-26.xlsx</w:t>
      </w:r>
      <w:r>
        <w:t xml:space="preserve">).</w:t>
      </w:r>
    </w:p>
    <w:p>
      <w:pPr>
        <w:numPr>
          <w:ilvl w:val="0"/>
          <w:numId w:val="1001"/>
        </w:numPr>
        <w:pStyle w:val="Compact"/>
      </w:pPr>
      <w:r>
        <w:t xml:space="preserve">UF diferenciada por seguro (día 9 / último día del mes anterior) según capacitación Oriana→Marcos (2026-07-07).</w:t>
      </w:r>
    </w:p>
    <w:p>
      <w:pPr>
        <w:numPr>
          <w:ilvl w:val="0"/>
          <w:numId w:val="1001"/>
        </w:numPr>
        <w:pStyle w:val="Compact"/>
      </w:pPr>
      <w:r>
        <w:t xml:space="preserve">Ciclo real de Addval documentado (envío diario L-V por Marcos Ibarra, plazo 48 h).</w:t>
      </w:r>
    </w:p>
    <w:p>
      <w:pPr>
        <w:numPr>
          <w:ilvl w:val="0"/>
          <w:numId w:val="1001"/>
        </w:numPr>
        <w:pStyle w:val="Compact"/>
      </w:pPr>
      <w:r>
        <w:t xml:space="preserve">Nueva sección de morosidad y eliminación (ciclo anual real) y de gestión PAC/PAT (rechazos, reintentos, cambio de tarjeta).</w:t>
      </w:r>
    </w:p>
    <w:p>
      <w:pPr>
        <w:numPr>
          <w:ilvl w:val="0"/>
          <w:numId w:val="1001"/>
        </w:numPr>
        <w:pStyle w:val="Compact"/>
      </w:pPr>
      <w:r>
        <w:t xml:space="preserve">Actores actualizados: sale Javiera Valdovinos; entran Marcos Ibarra y Fran (apoyo cobranza).</w:t>
      </w:r>
    </w:p>
    <w:p>
      <w:pPr>
        <w:numPr>
          <w:ilvl w:val="0"/>
          <w:numId w:val="1001"/>
        </w:numPr>
        <w:pStyle w:val="Compact"/>
      </w:pPr>
      <w:r>
        <w:t xml:space="preserve">Herramientas puente construidas y validadas (generadores de devengos y cruzador de pagos) referenciadas.</w:t>
      </w:r>
    </w:p>
    <w:p>
      <w:r>
        <w:pict>
          <v:rect style="width:0;height:1.5pt" o:hralign="center" o:hrstd="t" o:hr="t"/>
        </w:pict>
      </w:r>
    </w:p>
    <w:bookmarkEnd w:id="20"/>
    <w:bookmarkStart w:id="25" w:name="contexto-y-dimensionamiento"/>
    <w:p>
      <w:pPr>
        <w:pStyle w:val="Heading2"/>
      </w:pPr>
      <w:r>
        <w:t xml:space="preserve">1. Contexto y dimensionamiento</w:t>
      </w:r>
    </w:p>
    <w:p>
      <w:pPr>
        <w:pStyle w:val="FirstParagraph"/>
      </w:pPr>
      <w:r>
        <w:t xml:space="preserve">Proceso de mayor complejidad operativa de MundoSocios: generación masiva de deuda (devengo), recaudación de cuotas sociales y primas de seguros, y conciliación bancaria. Es el que más horas manuales consume (~40 hrs/mes) y el de mayor riesgo contable por la separación de fondos propios y de terceros.</w:t>
      </w:r>
    </w:p>
    <w:bookmarkStart w:id="21" w:name="volúmenes-operativos"/>
    <w:p>
      <w:pPr>
        <w:pStyle w:val="Heading3"/>
      </w:pPr>
      <w:r>
        <w:t xml:space="preserve">1.1 Volúmenes operativos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Concepto</w:t>
            </w:r>
          </w:p>
        </w:tc>
        <w:tc>
          <w:tcPr/>
          <w:p>
            <w:pPr>
              <w:pStyle w:val="Compact"/>
              <w:jc w:val="left"/>
            </w:pPr>
            <w:r>
              <w:t xml:space="preserve">Volumen</w:t>
            </w:r>
          </w:p>
        </w:tc>
        <w:tc>
          <w:tcPr/>
          <w:p>
            <w:pPr>
              <w:pStyle w:val="Compact"/>
              <w:jc w:val="left"/>
            </w:pPr>
            <w:r>
              <w:t xml:space="preserve">Frecuencia</w:t>
            </w:r>
          </w:p>
        </w:tc>
      </w:tr>
      <w:tr>
        <w:tc>
          <w:tcPr/>
          <w:p>
            <w:pPr>
              <w:pStyle w:val="Compact"/>
              <w:jc w:val="left"/>
            </w:pPr>
            <w:r>
              <w:t xml:space="preserve">Socios titulares</w:t>
            </w:r>
          </w:p>
        </w:tc>
        <w:tc>
          <w:tcPr/>
          <w:p>
            <w:pPr>
              <w:pStyle w:val="Compact"/>
              <w:jc w:val="left"/>
            </w:pPr>
            <w:r>
              <w:t xml:space="preserve">~1.955 (1.516 Empresa + 439 Persona)</w:t>
            </w:r>
          </w:p>
        </w:tc>
        <w:tc>
          <w:tcPr/>
          <w:p>
            <w:pPr>
              <w:pStyle w:val="Compact"/>
              <w:jc w:val="left"/>
            </w:pPr>
            <w:r>
              <w:t xml:space="preserve">Base</w:t>
            </w:r>
          </w:p>
        </w:tc>
      </w:tr>
      <w:tr>
        <w:tc>
          <w:tcPr/>
          <w:p>
            <w:pPr>
              <w:pStyle w:val="Compact"/>
              <w:jc w:val="left"/>
            </w:pPr>
            <w:r>
              <w:t xml:space="preserve">Personas con familias</w:t>
            </w:r>
          </w:p>
        </w:tc>
        <w:tc>
          <w:tcPr/>
          <w:p>
            <w:pPr>
              <w:pStyle w:val="Compact"/>
              <w:jc w:val="left"/>
            </w:pPr>
            <w:r>
              <w:t xml:space="preserve">~4.800</w:t>
            </w:r>
          </w:p>
        </w:tc>
        <w:tc>
          <w:tcPr/>
          <w:p>
            <w:pPr>
              <w:pStyle w:val="Compact"/>
              <w:jc w:val="left"/>
            </w:pPr>
            <w:r>
              <w:t xml:space="preserve">Base</w:t>
            </w:r>
          </w:p>
        </w:tc>
      </w:tr>
      <w:tr>
        <w:tc>
          <w:tcPr/>
          <w:p>
            <w:pPr>
              <w:pStyle w:val="Compact"/>
              <w:jc w:val="left"/>
            </w:pPr>
            <w:r>
              <w:t xml:space="preserve">Notas de cobro mensuales</w:t>
            </w:r>
          </w:p>
        </w:tc>
        <w:tc>
          <w:tcPr/>
          <w:p>
            <w:pPr>
              <w:pStyle w:val="Compact"/>
              <w:jc w:val="left"/>
            </w:pPr>
            <w:r>
              <w:t xml:space="preserve">~1.500</w:t>
            </w:r>
          </w:p>
        </w:tc>
        <w:tc>
          <w:tcPr/>
          <w:p>
            <w:pPr>
              <w:pStyle w:val="Compact"/>
              <w:jc w:val="left"/>
            </w:pPr>
            <w:r>
              <w:t xml:space="preserve">Mensual</w:t>
            </w:r>
          </w:p>
        </w:tc>
      </w:tr>
      <w:tr>
        <w:tc>
          <w:tcPr/>
          <w:p>
            <w:pPr>
              <w:pStyle w:val="Compact"/>
              <w:jc w:val="left"/>
            </w:pPr>
            <w:r>
              <w:t xml:space="preserve">Devengo anual cuota social</w:t>
            </w:r>
          </w:p>
        </w:tc>
        <w:tc>
          <w:tcPr/>
          <w:p>
            <w:pPr>
              <w:pStyle w:val="Compact"/>
              <w:jc w:val="left"/>
            </w:pPr>
            <w:r>
              <w:t xml:space="preserve">650 empresas + 431 personas (ENE-26)</w:t>
            </w:r>
          </w:p>
        </w:tc>
        <w:tc>
          <w:tcPr/>
          <w:p>
            <w:pPr>
              <w:pStyle w:val="Compact"/>
              <w:jc w:val="left"/>
            </w:pPr>
            <w:r>
              <w:t xml:space="preserve">Anual</w:t>
            </w:r>
          </w:p>
        </w:tc>
      </w:tr>
      <w:tr>
        <w:tc>
          <w:tcPr/>
          <w:p>
            <w:pPr>
              <w:pStyle w:val="Compact"/>
              <w:jc w:val="left"/>
            </w:pPr>
            <w:r>
              <w:t xml:space="preserve">Movimientos por cartola</w:t>
            </w:r>
          </w:p>
        </w:tc>
        <w:tc>
          <w:tcPr/>
          <w:p>
            <w:pPr>
              <w:pStyle w:val="Compact"/>
              <w:jc w:val="left"/>
            </w:pPr>
            <w:r>
              <w:t xml:space="preserve">~233</w:t>
            </w:r>
          </w:p>
        </w:tc>
        <w:tc>
          <w:tcPr/>
          <w:p>
            <w:pPr>
              <w:pStyle w:val="Compact"/>
              <w:jc w:val="left"/>
            </w:pPr>
            <w:r>
              <w:t xml:space="preserve">Mensual</w:t>
            </w:r>
          </w:p>
        </w:tc>
      </w:tr>
      <w:tr>
        <w:tc>
          <w:tcPr/>
          <w:p>
            <w:pPr>
              <w:pStyle w:val="Compact"/>
              <w:jc w:val="left"/>
            </w:pPr>
            <w:r>
              <w:t xml:space="preserve">Cámaras regionales</w:t>
            </w:r>
          </w:p>
        </w:tc>
        <w:tc>
          <w:tcPr/>
          <w:p>
            <w:pPr>
              <w:pStyle w:val="Compact"/>
              <w:jc w:val="left"/>
            </w:pPr>
            <w:r>
              <w:t xml:space="preserve">Múltiples (Santiago, O’Higgins, Maule, Atacama, Pta. Arenas, etc.)</w:t>
            </w:r>
          </w:p>
        </w:tc>
        <w:tc>
          <w:tcPr/>
          <w:p>
            <w:pPr>
              <w:pStyle w:val="Compact"/>
              <w:jc w:val="left"/>
            </w:pPr>
            <w:r>
              <w:t xml:space="preserve">Base</w:t>
            </w:r>
          </w:p>
        </w:tc>
      </w:tr>
    </w:tbl>
    <w:bookmarkEnd w:id="21"/>
    <w:bookmarkStart w:id="22" w:name="Xf5dc53245dca6f345ce133d9d272ca9a019e4b9"/>
    <w:p>
      <w:pPr>
        <w:pStyle w:val="Heading3"/>
      </w:pPr>
      <w:r>
        <w:t xml:space="preserve">1.2 Productos recurrentes (verificado contra archivos productivos)</w:t>
      </w:r>
    </w:p>
    <w:tbl>
      <w:tblPr>
        <w:tblStyle w:val="Table"/>
        <w:tblW w:type="pct" w:w="5000"/>
        <w:tblLook w:firstRow="1" w:lastRow="0" w:firstColumn="0" w:lastColumn="0" w:noHBand="0" w:noVBand="0" w:val="0020"/>
        <w:jc w:val="start"/>
      </w:tblPr>
      <w:tblGrid>
        <w:gridCol w:w="879"/>
        <w:gridCol w:w="879"/>
        <w:gridCol w:w="879"/>
        <w:gridCol w:w="879"/>
        <w:gridCol w:w="879"/>
        <w:gridCol w:w="879"/>
        <w:gridCol w:w="879"/>
        <w:gridCol w:w="879"/>
        <w:gridCol w:w="879"/>
      </w:tblGrid>
      <w:tr>
        <w:trPr>
          <w:tblHeader w:val="true"/>
        </w:trPr>
        <w:tc>
          <w:tcPr/>
          <w:p>
            <w:pPr>
              <w:pStyle w:val="Compact"/>
              <w:jc w:val="left"/>
            </w:pPr>
            <w:r>
              <w:t xml:space="preserve">Producto</w:t>
            </w:r>
          </w:p>
        </w:tc>
        <w:tc>
          <w:tcPr/>
          <w:p>
            <w:pPr>
              <w:pStyle w:val="Compact"/>
              <w:jc w:val="left"/>
            </w:pPr>
            <w:r>
              <w:t xml:space="preserve">Tipo fondo</w:t>
            </w:r>
          </w:p>
        </w:tc>
        <w:tc>
          <w:tcPr/>
          <w:p>
            <w:pPr>
              <w:pStyle w:val="Compact"/>
              <w:jc w:val="left"/>
            </w:pPr>
            <w:r>
              <w:t xml:space="preserve">Cobro</w:t>
            </w:r>
          </w:p>
        </w:tc>
        <w:tc>
          <w:tcPr/>
          <w:p>
            <w:pPr>
              <w:pStyle w:val="Compact"/>
              <w:jc w:val="left"/>
            </w:pPr>
            <w:r>
              <w:t xml:space="preserve">Valor</w:t>
            </w:r>
          </w:p>
        </w:tc>
        <w:tc>
          <w:tcPr/>
          <w:p>
            <w:pPr>
              <w:pStyle w:val="Compact"/>
              <w:jc w:val="left"/>
            </w:pPr>
            <w:r>
              <w:t xml:space="preserve">Cta. x cobrar</w:t>
            </w:r>
          </w:p>
        </w:tc>
        <w:tc>
          <w:tcPr/>
          <w:p>
            <w:pPr>
              <w:pStyle w:val="Compact"/>
              <w:jc w:val="left"/>
            </w:pPr>
            <w:r>
              <w:t xml:space="preserve">Cta. ingreso</w:t>
            </w:r>
          </w:p>
        </w:tc>
        <w:tc>
          <w:tcPr/>
          <w:p>
            <w:pPr>
              <w:pStyle w:val="Compact"/>
              <w:jc w:val="left"/>
            </w:pPr>
            <w:r>
              <w:t xml:space="preserve">Doc.</w:t>
            </w:r>
          </w:p>
        </w:tc>
        <w:tc>
          <w:tcPr/>
          <w:p>
            <w:pPr>
              <w:pStyle w:val="Compact"/>
              <w:jc w:val="left"/>
            </w:pPr>
            <w:r>
              <w:t xml:space="preserve">CC contrapartida</w:t>
            </w:r>
          </w:p>
        </w:tc>
        <w:tc>
          <w:tcPr/>
          <w:p>
            <w:pPr>
              <w:pStyle w:val="Compact"/>
              <w:jc w:val="left"/>
            </w:pPr>
            <w:r>
              <w:t xml:space="preserve">Conceptos 1/2</w:t>
            </w:r>
          </w:p>
        </w:tc>
      </w:tr>
      <w:tr>
        <w:tc>
          <w:tcPr/>
          <w:p>
            <w:pPr>
              <w:pStyle w:val="Compact"/>
              <w:jc w:val="left"/>
            </w:pPr>
            <w:r>
              <w:t xml:space="preserve">Cuota Social Empresa</w:t>
            </w:r>
          </w:p>
        </w:tc>
        <w:tc>
          <w:tcPr/>
          <w:p>
            <w:pPr>
              <w:pStyle w:val="Compact"/>
              <w:jc w:val="left"/>
            </w:pPr>
            <w:r>
              <w:t xml:space="preserve">Propio</w:t>
            </w:r>
          </w:p>
        </w:tc>
        <w:tc>
          <w:tcPr/>
          <w:p>
            <w:pPr>
              <w:pStyle w:val="Compact"/>
              <w:jc w:val="left"/>
            </w:pPr>
            <w:r>
              <w:rPr>
                <w:bCs/>
                <w:b/>
              </w:rPr>
              <w:t xml:space="preserve">Anual</w:t>
            </w:r>
            <w:r>
              <w:t xml:space="preserve"> </w:t>
            </w:r>
            <w:r>
              <w:t xml:space="preserve">(devengo único 1 de enero)</w:t>
            </w:r>
          </w:p>
        </w:tc>
        <w:tc>
          <w:tcPr/>
          <w:p>
            <w:pPr>
              <w:pStyle w:val="Compact"/>
              <w:jc w:val="left"/>
            </w:pPr>
            <w:r>
              <w:rPr>
                <w:bCs/>
                <w:b/>
              </w:rPr>
              <w:t xml:space="preserve">3 UF hasta 3 miembros + 1 UF por miembro desde el 4º</w:t>
            </w:r>
          </w:p>
        </w:tc>
        <w:tc>
          <w:tcPr/>
          <w:p>
            <w:pPr>
              <w:pStyle w:val="Compact"/>
              <w:jc w:val="left"/>
            </w:pPr>
            <w:r>
              <w:t xml:space="preserve">1150001</w:t>
            </w:r>
          </w:p>
        </w:tc>
        <w:tc>
          <w:tcPr/>
          <w:p>
            <w:pPr>
              <w:pStyle w:val="Compact"/>
              <w:jc w:val="left"/>
            </w:pPr>
            <w:r>
              <w:t xml:space="preserve">3210002</w:t>
            </w:r>
          </w:p>
        </w:tc>
        <w:tc>
          <w:tcPr/>
          <w:p>
            <w:pPr>
              <w:pStyle w:val="Compact"/>
              <w:jc w:val="left"/>
            </w:pPr>
            <w:r>
              <w:t xml:space="preserve">CSEMP</w:t>
            </w:r>
          </w:p>
        </w:tc>
        <w:tc>
          <w:tcPr/>
          <w:p>
            <w:pPr>
              <w:pStyle w:val="Compact"/>
              <w:jc w:val="left"/>
            </w:pPr>
            <w:r>
              <w:t xml:space="preserve">ADM</w:t>
            </w:r>
          </w:p>
        </w:tc>
        <w:tc>
          <w:tcPr/>
          <w:p>
            <w:pPr>
              <w:pStyle w:val="Compact"/>
              <w:jc w:val="left"/>
            </w:pPr>
            <w:r>
              <w:t xml:space="preserve">—</w:t>
            </w:r>
          </w:p>
        </w:tc>
      </w:tr>
      <w:tr>
        <w:tc>
          <w:tcPr/>
          <w:p>
            <w:pPr>
              <w:pStyle w:val="Compact"/>
              <w:jc w:val="left"/>
            </w:pPr>
            <w:r>
              <w:t xml:space="preserve">Cuota Social Persona</w:t>
            </w:r>
          </w:p>
        </w:tc>
        <w:tc>
          <w:tcPr/>
          <w:p>
            <w:pPr>
              <w:pStyle w:val="Compact"/>
              <w:jc w:val="left"/>
            </w:pPr>
            <w:r>
              <w:t xml:space="preserve">Propio</w:t>
            </w:r>
          </w:p>
        </w:tc>
        <w:tc>
          <w:tcPr/>
          <w:p>
            <w:pPr>
              <w:pStyle w:val="Compact"/>
              <w:jc w:val="left"/>
            </w:pPr>
            <w:r>
              <w:rPr>
                <w:bCs/>
                <w:b/>
              </w:rPr>
              <w:t xml:space="preserve">Anual</w:t>
            </w:r>
          </w:p>
        </w:tc>
        <w:tc>
          <w:tcPr/>
          <w:p>
            <w:pPr>
              <w:pStyle w:val="Compact"/>
              <w:jc w:val="left"/>
            </w:pPr>
            <w:r>
              <w:rPr>
                <w:bCs/>
                <w:b/>
              </w:rPr>
              <w:t xml:space="preserve">1 UF</w:t>
            </w:r>
          </w:p>
        </w:tc>
        <w:tc>
          <w:tcPr/>
          <w:p>
            <w:pPr>
              <w:pStyle w:val="Compact"/>
              <w:jc w:val="left"/>
            </w:pPr>
            <w:r>
              <w:rPr>
                <w:bCs/>
                <w:b/>
              </w:rPr>
              <w:t xml:space="preserve">1150002</w:t>
            </w:r>
          </w:p>
        </w:tc>
        <w:tc>
          <w:tcPr/>
          <w:p>
            <w:pPr>
              <w:pStyle w:val="Compact"/>
              <w:jc w:val="left"/>
            </w:pPr>
            <w:r>
              <w:rPr>
                <w:bCs/>
                <w:b/>
              </w:rPr>
              <w:t xml:space="preserve">3210001</w:t>
            </w:r>
          </w:p>
        </w:tc>
        <w:tc>
          <w:tcPr/>
          <w:p>
            <w:pPr>
              <w:pStyle w:val="Compact"/>
              <w:jc w:val="left"/>
            </w:pPr>
            <w:r>
              <w:t xml:space="preserve">CSPER</w:t>
            </w:r>
          </w:p>
        </w:tc>
        <w:tc>
          <w:tcPr/>
          <w:p>
            <w:pPr>
              <w:pStyle w:val="Compact"/>
              <w:jc w:val="left"/>
            </w:pPr>
            <w:r>
              <w:t xml:space="preserve">ADM</w:t>
            </w:r>
          </w:p>
        </w:tc>
        <w:tc>
          <w:tcPr/>
          <w:p>
            <w:pPr>
              <w:pStyle w:val="Compact"/>
              <w:jc w:val="left"/>
            </w:pPr>
            <w:r>
              <w:t xml:space="preserve">—</w:t>
            </w:r>
          </w:p>
        </w:tc>
      </w:tr>
      <w:tr>
        <w:tc>
          <w:tcPr/>
          <w:p>
            <w:pPr>
              <w:pStyle w:val="Compact"/>
              <w:jc w:val="left"/>
            </w:pPr>
            <w:r>
              <w:t xml:space="preserve">Seguro Plan Socios</w:t>
            </w:r>
          </w:p>
        </w:tc>
        <w:tc>
          <w:tcPr/>
          <w:p>
            <w:pPr>
              <w:pStyle w:val="Compact"/>
              <w:jc w:val="left"/>
            </w:pPr>
            <w:r>
              <w:t xml:space="preserve">Terceros</w:t>
            </w:r>
          </w:p>
        </w:tc>
        <w:tc>
          <w:tcPr/>
          <w:p>
            <w:pPr>
              <w:pStyle w:val="Compact"/>
              <w:jc w:val="left"/>
            </w:pPr>
            <w:r>
              <w:t xml:space="preserve">Mensual</w:t>
            </w:r>
          </w:p>
        </w:tc>
        <w:tc>
          <w:tcPr/>
          <w:p>
            <w:pPr>
              <w:pStyle w:val="Compact"/>
              <w:jc w:val="left"/>
            </w:pPr>
            <w:r>
              <w:t xml:space="preserve">factor UF × UF</w:t>
            </w:r>
          </w:p>
        </w:tc>
        <w:tc>
          <w:tcPr/>
          <w:p>
            <w:pPr>
              <w:pStyle w:val="Compact"/>
              <w:jc w:val="left"/>
            </w:pPr>
            <w:r>
              <w:t xml:space="preserve">1130004</w:t>
            </w:r>
          </w:p>
        </w:tc>
        <w:tc>
          <w:tcPr/>
          <w:p>
            <w:pPr>
              <w:pStyle w:val="Compact"/>
              <w:jc w:val="left"/>
            </w:pPr>
            <w:r>
              <w:t xml:space="preserve">3310005</w:t>
            </w:r>
          </w:p>
        </w:tc>
        <w:tc>
          <w:tcPr/>
          <w:p>
            <w:pPr>
              <w:pStyle w:val="Compact"/>
              <w:jc w:val="left"/>
            </w:pPr>
            <w:r>
              <w:t xml:space="preserve">PSOC</w:t>
            </w:r>
          </w:p>
        </w:tc>
        <w:tc>
          <w:tcPr/>
          <w:p>
            <w:pPr>
              <w:pStyle w:val="Compact"/>
              <w:jc w:val="left"/>
            </w:pPr>
            <w:r>
              <w:t xml:space="preserve">MS</w:t>
            </w:r>
          </w:p>
        </w:tc>
        <w:tc>
          <w:tcPr/>
          <w:p>
            <w:pPr>
              <w:pStyle w:val="Compact"/>
              <w:jc w:val="left"/>
            </w:pPr>
            <w:r>
              <w:t xml:space="preserve">99999/500</w:t>
            </w:r>
          </w:p>
        </w:tc>
      </w:tr>
      <w:tr>
        <w:tc>
          <w:tcPr/>
          <w:p>
            <w:pPr>
              <w:pStyle w:val="Compact"/>
              <w:jc w:val="left"/>
            </w:pPr>
            <w:r>
              <w:t xml:space="preserve">Seguro Complementario</w:t>
            </w:r>
          </w:p>
        </w:tc>
        <w:tc>
          <w:tcPr/>
          <w:p>
            <w:pPr>
              <w:pStyle w:val="Compact"/>
              <w:jc w:val="left"/>
            </w:pPr>
            <w:r>
              <w:t xml:space="preserve">Terceros</w:t>
            </w:r>
          </w:p>
        </w:tc>
        <w:tc>
          <w:tcPr/>
          <w:p>
            <w:pPr>
              <w:pStyle w:val="Compact"/>
              <w:jc w:val="left"/>
            </w:pPr>
            <w:r>
              <w:t xml:space="preserve">Mensual</w:t>
            </w:r>
          </w:p>
        </w:tc>
        <w:tc>
          <w:tcPr/>
          <w:p>
            <w:pPr>
              <w:pStyle w:val="Compact"/>
              <w:jc w:val="left"/>
            </w:pPr>
            <w:r>
              <w:t xml:space="preserve">factor UF ×</w:t>
            </w:r>
            <w:r>
              <w:t xml:space="preserve"> </w:t>
            </w:r>
            <w:r>
              <w:rPr>
                <w:bCs/>
                <w:b/>
              </w:rPr>
              <w:t xml:space="preserve">UF del día 9</w:t>
            </w:r>
          </w:p>
        </w:tc>
        <w:tc>
          <w:tcPr/>
          <w:p>
            <w:pPr>
              <w:pStyle w:val="Compact"/>
              <w:jc w:val="left"/>
            </w:pPr>
            <w:r>
              <w:t xml:space="preserve">1130003</w:t>
            </w:r>
          </w:p>
        </w:tc>
        <w:tc>
          <w:tcPr/>
          <w:p>
            <w:pPr>
              <w:pStyle w:val="Compact"/>
              <w:jc w:val="left"/>
            </w:pPr>
            <w:r>
              <w:t xml:space="preserve">3310003</w:t>
            </w:r>
          </w:p>
        </w:tc>
        <w:tc>
          <w:tcPr/>
          <w:p>
            <w:pPr>
              <w:pStyle w:val="Compact"/>
              <w:jc w:val="left"/>
            </w:pPr>
            <w:r>
              <w:t xml:space="preserve">SCOMP</w:t>
            </w:r>
          </w:p>
        </w:tc>
        <w:tc>
          <w:tcPr/>
          <w:p>
            <w:pPr>
              <w:pStyle w:val="Compact"/>
              <w:jc w:val="left"/>
            </w:pPr>
            <w:r>
              <w:t xml:space="preserve">MS</w:t>
            </w:r>
          </w:p>
        </w:tc>
        <w:tc>
          <w:tcPr/>
          <w:p>
            <w:pPr>
              <w:pStyle w:val="Compact"/>
              <w:jc w:val="left"/>
            </w:pPr>
            <w:r>
              <w:t xml:space="preserve">99999/500</w:t>
            </w:r>
          </w:p>
        </w:tc>
      </w:tr>
      <w:tr>
        <w:tc>
          <w:tcPr/>
          <w:p>
            <w:pPr>
              <w:pStyle w:val="Compact"/>
              <w:jc w:val="left"/>
            </w:pPr>
            <w:r>
              <w:t xml:space="preserve">Seguro Catastrófico</w:t>
            </w:r>
          </w:p>
        </w:tc>
        <w:tc>
          <w:tcPr/>
          <w:p>
            <w:pPr>
              <w:pStyle w:val="Compact"/>
              <w:jc w:val="left"/>
            </w:pPr>
            <w:r>
              <w:t xml:space="preserve">Terceros</w:t>
            </w:r>
          </w:p>
        </w:tc>
        <w:tc>
          <w:tcPr/>
          <w:p>
            <w:pPr>
              <w:pStyle w:val="Compact"/>
              <w:jc w:val="left"/>
            </w:pPr>
            <w:r>
              <w:t xml:space="preserve">Mensual</w:t>
            </w:r>
          </w:p>
        </w:tc>
        <w:tc>
          <w:tcPr/>
          <w:p>
            <w:pPr>
              <w:pStyle w:val="Compact"/>
              <w:jc w:val="left"/>
            </w:pPr>
            <w:r>
              <w:t xml:space="preserve">factor UF ×</w:t>
            </w:r>
            <w:r>
              <w:t xml:space="preserve"> </w:t>
            </w:r>
            <w:r>
              <w:rPr>
                <w:bCs/>
                <w:b/>
              </w:rPr>
              <w:t xml:space="preserve">UF del último día del mes anterior</w:t>
            </w:r>
          </w:p>
        </w:tc>
        <w:tc>
          <w:tcPr/>
          <w:p>
            <w:pPr>
              <w:pStyle w:val="Compact"/>
              <w:jc w:val="left"/>
            </w:pPr>
            <w:r>
              <w:t xml:space="preserve">1130002</w:t>
            </w:r>
          </w:p>
        </w:tc>
        <w:tc>
          <w:tcPr/>
          <w:p>
            <w:pPr>
              <w:pStyle w:val="Compact"/>
              <w:jc w:val="left"/>
            </w:pPr>
            <w:r>
              <w:t xml:space="preserve">3310001</w:t>
            </w:r>
          </w:p>
        </w:tc>
        <w:tc>
          <w:tcPr/>
          <w:p>
            <w:pPr>
              <w:pStyle w:val="Compact"/>
              <w:jc w:val="left"/>
            </w:pPr>
            <w:r>
              <w:t xml:space="preserve">SCAT</w:t>
            </w:r>
          </w:p>
        </w:tc>
        <w:tc>
          <w:tcPr/>
          <w:p>
            <w:pPr>
              <w:pStyle w:val="Compact"/>
              <w:jc w:val="left"/>
            </w:pPr>
            <w:r>
              <w:t xml:space="preserve">MS</w:t>
            </w:r>
          </w:p>
        </w:tc>
        <w:tc>
          <w:tcPr/>
          <w:p>
            <w:pPr>
              <w:pStyle w:val="Compact"/>
              <w:jc w:val="left"/>
            </w:pPr>
            <w:r>
              <w:t xml:space="preserve">99999/500</w:t>
            </w:r>
          </w:p>
        </w:tc>
      </w:tr>
      <w:tr>
        <w:tc>
          <w:tcPr/>
          <w:p>
            <w:pPr>
              <w:pStyle w:val="Compact"/>
              <w:jc w:val="left"/>
            </w:pPr>
            <w:r>
              <w:t xml:space="preserve">Plan Carreño</w:t>
            </w:r>
          </w:p>
        </w:tc>
        <w:tc>
          <w:tcPr/>
          <w:p>
            <w:pPr>
              <w:pStyle w:val="Compact"/>
              <w:jc w:val="left"/>
            </w:pPr>
            <w:r>
              <w:t xml:space="preserve">Terceros</w:t>
            </w:r>
          </w:p>
        </w:tc>
        <w:tc>
          <w:tcPr/>
          <w:p>
            <w:pPr>
              <w:pStyle w:val="Compact"/>
              <w:jc w:val="left"/>
            </w:pPr>
            <w:r>
              <w:t xml:space="preserve">Mensual</w:t>
            </w:r>
          </w:p>
        </w:tc>
        <w:tc>
          <w:tcPr/>
          <w:p>
            <w:pPr>
              <w:pStyle w:val="Compact"/>
              <w:jc w:val="left"/>
            </w:pPr>
            <w:r>
              <w:t xml:space="preserve">factor UF (0,2/0,4/0,6) × UF</w:t>
            </w:r>
          </w:p>
        </w:tc>
        <w:tc>
          <w:tcPr/>
          <w:p>
            <w:pPr>
              <w:pStyle w:val="Compact"/>
              <w:jc w:val="left"/>
            </w:pPr>
            <w:r>
              <w:t xml:space="preserve">1130005</w:t>
            </w:r>
          </w:p>
        </w:tc>
        <w:tc>
          <w:tcPr/>
          <w:p>
            <w:pPr>
              <w:pStyle w:val="Compact"/>
              <w:jc w:val="left"/>
            </w:pPr>
            <w:r>
              <w:t xml:space="preserve">3310004</w:t>
            </w:r>
          </w:p>
        </w:tc>
        <w:tc>
          <w:tcPr/>
          <w:p>
            <w:pPr>
              <w:pStyle w:val="Compact"/>
              <w:jc w:val="left"/>
            </w:pPr>
            <w:r>
              <w:t xml:space="preserve">PCARR</w:t>
            </w:r>
          </w:p>
        </w:tc>
        <w:tc>
          <w:tcPr/>
          <w:p>
            <w:pPr>
              <w:pStyle w:val="Compact"/>
              <w:jc w:val="left"/>
            </w:pPr>
            <w:r>
              <w:t xml:space="preserve">MS</w:t>
            </w:r>
          </w:p>
        </w:tc>
        <w:tc>
          <w:tcPr/>
          <w:p>
            <w:pPr>
              <w:pStyle w:val="Compact"/>
              <w:jc w:val="left"/>
            </w:pPr>
            <w:r>
              <w:t xml:space="preserve">99999/500</w:t>
            </w:r>
          </w:p>
        </w:tc>
      </w:tr>
    </w:tbl>
    <w:p>
      <w:pPr>
        <w:pStyle w:val="BodyText"/>
      </w:pPr>
      <w:r>
        <w:rPr>
          <w:bCs/>
          <w:b/>
        </w:rPr>
        <w:t xml:space="preserve">Regla UF cuota social:</w:t>
      </w:r>
      <w:r>
        <w:t xml:space="preserve"> </w:t>
      </w:r>
      <w:r>
        <w:t xml:space="preserve">se consideran las UF de cierre de enero/febrero/marzo (☐ precisar con Patricio cuál aplica a qué caso; el devengo ENE-26 real se generó con UF $39.731,77 al 1 de enero).</w:t>
      </w:r>
    </w:p>
    <w:p>
      <w:pPr>
        <w:pStyle w:val="BlockText"/>
      </w:pPr>
      <w:r>
        <w:t xml:space="preserve">Los valores</w:t>
      </w:r>
      <w:r>
        <w:t xml:space="preserve"> </w:t>
      </w:r>
      <w:r>
        <w:t xml:space="preserve">“</w:t>
      </w:r>
      <w:r>
        <w:t xml:space="preserve">Empresa 1,44 UF / Persona 0,48 UF</w:t>
      </w:r>
      <w:r>
        <w:t xml:space="preserve">”</w:t>
      </w:r>
      <w:r>
        <w:t xml:space="preserve"> </w:t>
      </w:r>
      <w:r>
        <w:t xml:space="preserve">de documentos anteriores están</w:t>
      </w:r>
      <w:r>
        <w:t xml:space="preserve"> </w:t>
      </w:r>
      <w:r>
        <w:rPr>
          <w:bCs/>
          <w:b/>
        </w:rPr>
        <w:t xml:space="preserve">desactualizados</w:t>
      </w:r>
      <w:r>
        <w:t xml:space="preserve">.</w:t>
      </w:r>
    </w:p>
    <w:bookmarkEnd w:id="22"/>
    <w:bookmarkStart w:id="23" w:name="mix-de-pago"/>
    <w:p>
      <w:pPr>
        <w:pStyle w:val="Heading3"/>
      </w:pPr>
      <w:r>
        <w:t xml:space="preserve">1.3 Mix de pago</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Producto</w:t>
            </w:r>
          </w:p>
        </w:tc>
        <w:tc>
          <w:tcPr/>
          <w:p>
            <w:pPr>
              <w:pStyle w:val="Compact"/>
              <w:jc w:val="left"/>
            </w:pPr>
            <w:r>
              <w:t xml:space="preserve">PAC/PAT</w:t>
            </w:r>
          </w:p>
        </w:tc>
        <w:tc>
          <w:tcPr/>
          <w:p>
            <w:pPr>
              <w:pStyle w:val="Compact"/>
              <w:jc w:val="left"/>
            </w:pPr>
            <w:r>
              <w:t xml:space="preserve">Webpay/Transferencia</w:t>
            </w:r>
          </w:p>
        </w:tc>
      </w:tr>
      <w:tr>
        <w:tc>
          <w:tcPr/>
          <w:p>
            <w:pPr>
              <w:pStyle w:val="Compact"/>
              <w:jc w:val="left"/>
            </w:pPr>
            <w:r>
              <w:t xml:space="preserve">Seguros (primas)</w:t>
            </w:r>
          </w:p>
        </w:tc>
        <w:tc>
          <w:tcPr/>
          <w:p>
            <w:pPr>
              <w:pStyle w:val="Compact"/>
              <w:jc w:val="left"/>
            </w:pPr>
            <w:r>
              <w:t xml:space="preserve">~80%</w:t>
            </w:r>
          </w:p>
        </w:tc>
        <w:tc>
          <w:tcPr/>
          <w:p>
            <w:pPr>
              <w:pStyle w:val="Compact"/>
              <w:jc w:val="left"/>
            </w:pPr>
            <w:r>
              <w:t xml:space="preserve">~20%</w:t>
            </w:r>
          </w:p>
        </w:tc>
      </w:tr>
      <w:tr>
        <w:tc>
          <w:tcPr/>
          <w:p>
            <w:pPr>
              <w:pStyle w:val="Compact"/>
              <w:jc w:val="left"/>
            </w:pPr>
            <w:r>
              <w:t xml:space="preserve">Cuota social</w:t>
            </w:r>
          </w:p>
        </w:tc>
        <w:tc>
          <w:tcPr/>
          <w:p>
            <w:pPr>
              <w:pStyle w:val="Compact"/>
              <w:jc w:val="left"/>
            </w:pPr>
            <w:r>
              <w:t xml:space="preserve">~20%</w:t>
            </w:r>
          </w:p>
        </w:tc>
        <w:tc>
          <w:tcPr/>
          <w:p>
            <w:pPr>
              <w:pStyle w:val="Compact"/>
              <w:jc w:val="left"/>
            </w:pPr>
            <w:r>
              <w:t xml:space="preserve">~80%</w:t>
            </w:r>
          </w:p>
        </w:tc>
      </w:tr>
    </w:tbl>
    <w:p>
      <w:pPr>
        <w:pStyle w:val="BodyText"/>
      </w:pPr>
      <w:r>
        <w:rPr>
          <w:bCs/>
          <w:b/>
        </w:rPr>
        <w:t xml:space="preserve">Códigos de comercio Transbank</w:t>
      </w:r>
      <w:r>
        <w:t xml:space="preserve"> </w:t>
      </w:r>
      <w:r>
        <w:t xml:space="preserve">(detalle confirmado por el cliente, 2026-07-08). Cuenta de abono: Banco de Chile 8001104309.</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Código</w:t>
            </w:r>
          </w:p>
        </w:tc>
        <w:tc>
          <w:tcPr/>
          <w:p>
            <w:pPr>
              <w:pStyle w:val="Compact"/>
              <w:jc w:val="left"/>
            </w:pPr>
            <w:r>
              <w:t xml:space="preserve">Canal</w:t>
            </w:r>
          </w:p>
        </w:tc>
        <w:tc>
          <w:tcPr/>
          <w:p>
            <w:pPr>
              <w:pStyle w:val="Compact"/>
              <w:jc w:val="left"/>
            </w:pPr>
            <w:r>
              <w:t xml:space="preserve">Estado</w:t>
            </w:r>
          </w:p>
        </w:tc>
      </w:tr>
      <w:tr>
        <w:tc>
          <w:tcPr/>
          <w:p>
            <w:pPr>
              <w:pStyle w:val="Compact"/>
              <w:jc w:val="left"/>
            </w:pPr>
            <w:r>
              <w:t xml:space="preserve">32606164</w:t>
            </w:r>
          </w:p>
        </w:tc>
        <w:tc>
          <w:tcPr/>
          <w:p>
            <w:pPr>
              <w:pStyle w:val="Compact"/>
              <w:jc w:val="left"/>
            </w:pPr>
            <w:r>
              <w:rPr>
                <w:bCs/>
                <w:b/>
              </w:rPr>
              <w:t xml:space="preserve">PAT</w:t>
            </w:r>
            <w:r>
              <w:t xml:space="preserve"> </w:t>
            </w:r>
            <w:r>
              <w:t xml:space="preserve">(cargo automático en tarjeta)</w:t>
            </w:r>
          </w:p>
        </w:tc>
        <w:tc>
          <w:tcPr/>
          <w:p>
            <w:pPr>
              <w:pStyle w:val="Compact"/>
              <w:jc w:val="left"/>
            </w:pPr>
            <w:r>
              <w:t xml:space="preserve">Activo</w:t>
            </w:r>
          </w:p>
        </w:tc>
      </w:tr>
      <w:tr>
        <w:tc>
          <w:tcPr/>
          <w:p>
            <w:pPr>
              <w:pStyle w:val="Compact"/>
              <w:jc w:val="left"/>
            </w:pPr>
            <w:r>
              <w:t xml:space="preserve">51709929</w:t>
            </w:r>
          </w:p>
        </w:tc>
        <w:tc>
          <w:tcPr/>
          <w:p>
            <w:pPr>
              <w:pStyle w:val="Compact"/>
              <w:jc w:val="left"/>
            </w:pPr>
            <w:r>
              <w:rPr>
                <w:bCs/>
                <w:b/>
              </w:rPr>
              <w:t xml:space="preserve">Webpay Plus</w:t>
            </w:r>
            <w:r>
              <w:t xml:space="preserve"> </w:t>
            </w:r>
            <w:r>
              <w:t xml:space="preserve">(pagos en línea)</w:t>
            </w:r>
          </w:p>
        </w:tc>
        <w:tc>
          <w:tcPr/>
          <w:p>
            <w:pPr>
              <w:pStyle w:val="Compact"/>
              <w:jc w:val="left"/>
            </w:pPr>
            <w:r>
              <w:t xml:space="preserve">Activo</w:t>
            </w:r>
          </w:p>
        </w:tc>
      </w:tr>
      <w:tr>
        <w:tc>
          <w:tcPr/>
          <w:p>
            <w:pPr>
              <w:pStyle w:val="Compact"/>
              <w:jc w:val="left"/>
            </w:pPr>
            <w:r>
              <w:t xml:space="preserve">35997075</w:t>
            </w:r>
          </w:p>
        </w:tc>
        <w:tc>
          <w:tcPr/>
          <w:p>
            <w:pPr>
              <w:pStyle w:val="Compact"/>
              <w:jc w:val="left"/>
            </w:pPr>
            <w:r>
              <w:rPr>
                <w:bCs/>
                <w:b/>
              </w:rPr>
              <w:t xml:space="preserve">Webpay.cl</w:t>
            </w:r>
            <w:r>
              <w:t xml:space="preserve"> </w:t>
            </w:r>
            <w:r>
              <w:t xml:space="preserve">(portal de pagos)</w:t>
            </w:r>
          </w:p>
        </w:tc>
        <w:tc>
          <w:tcPr/>
          <w:p>
            <w:pPr>
              <w:pStyle w:val="Compact"/>
              <w:jc w:val="left"/>
            </w:pPr>
            <w:r>
              <w:t xml:space="preserve">Activo</w:t>
            </w:r>
          </w:p>
        </w:tc>
      </w:tr>
      <w:tr>
        <w:tc>
          <w:tcPr/>
          <w:p>
            <w:pPr>
              <w:pStyle w:val="Compact"/>
              <w:jc w:val="left"/>
            </w:pPr>
            <w:r>
              <w:t xml:space="preserve">38323415</w:t>
            </w:r>
          </w:p>
        </w:tc>
        <w:tc>
          <w:tcPr/>
          <w:p>
            <w:pPr>
              <w:pStyle w:val="Compact"/>
              <w:jc w:val="left"/>
            </w:pPr>
            <w:r>
              <w:rPr>
                <w:bCs/>
                <w:b/>
              </w:rPr>
              <w:t xml:space="preserve">Cobro QR</w:t>
            </w:r>
          </w:p>
        </w:tc>
        <w:tc>
          <w:tcPr/>
          <w:p>
            <w:pPr>
              <w:pStyle w:val="Compact"/>
              <w:jc w:val="left"/>
            </w:pPr>
            <w:r>
              <w:t xml:space="preserve">Activo</w:t>
            </w:r>
          </w:p>
        </w:tc>
      </w:tr>
      <w:tr>
        <w:tc>
          <w:tcPr/>
          <w:p>
            <w:pPr>
              <w:pStyle w:val="Compact"/>
              <w:jc w:val="left"/>
            </w:pPr>
            <w:r>
              <w:t xml:space="preserve">47630680</w:t>
            </w:r>
          </w:p>
        </w:tc>
        <w:tc>
          <w:tcPr/>
          <w:p>
            <w:pPr>
              <w:pStyle w:val="Compact"/>
              <w:jc w:val="left"/>
            </w:pPr>
            <w:r>
              <w:rPr>
                <w:bCs/>
                <w:b/>
              </w:rPr>
              <w:t xml:space="preserve">Máquina</w:t>
            </w:r>
            <w:r>
              <w:t xml:space="preserve"> </w:t>
            </w:r>
            <w:r>
              <w:t xml:space="preserve">(POS presencial)</w:t>
            </w:r>
          </w:p>
        </w:tc>
        <w:tc>
          <w:tcPr/>
          <w:p>
            <w:pPr>
              <w:pStyle w:val="Compact"/>
              <w:jc w:val="left"/>
            </w:pPr>
            <w:r>
              <w:t xml:space="preserve">Activo</w:t>
            </w:r>
          </w:p>
        </w:tc>
      </w:tr>
      <w:tr>
        <w:tc>
          <w:tcPr/>
          <w:p>
            <w:pPr>
              <w:pStyle w:val="Compact"/>
              <w:jc w:val="left"/>
            </w:pPr>
            <w:r>
              <w:t xml:space="preserve">35171665</w:t>
            </w:r>
          </w:p>
        </w:tc>
        <w:tc>
          <w:tcPr/>
          <w:p>
            <w:pPr>
              <w:pStyle w:val="Compact"/>
              <w:jc w:val="left"/>
            </w:pPr>
            <w:r>
              <w:t xml:space="preserve">Máquina — equipo móvil</w:t>
            </w:r>
          </w:p>
        </w:tc>
        <w:tc>
          <w:tcPr/>
          <w:p>
            <w:pPr>
              <w:pStyle w:val="Compact"/>
              <w:jc w:val="left"/>
            </w:pPr>
            <w:r>
              <w:t xml:space="preserve">Inactivo</w:t>
            </w:r>
          </w:p>
        </w:tc>
      </w:tr>
    </w:tbl>
    <w:p>
      <w:pPr>
        <w:pStyle w:val="BlockText"/>
      </w:pPr>
      <w:r>
        <w:t xml:space="preserve">Uso operativo: en los reportes de Transbank (</w:t>
      </w:r>
      <w:r>
        <w:t xml:space="preserve">“</w:t>
      </w:r>
      <w:r>
        <w:t xml:space="preserve">Abonos por día</w:t>
      </w:r>
      <w:r>
        <w:t xml:space="preserve">”</w:t>
      </w:r>
      <w:r>
        <w:t xml:space="preserve"> </w:t>
      </w:r>
      <w:r>
        <w:t xml:space="preserve">/ detalle de ventas) el código de comercio permite</w:t>
      </w:r>
      <w:r>
        <w:t xml:space="preserve"> </w:t>
      </w:r>
      <w:r>
        <w:rPr>
          <w:bCs/>
          <w:b/>
        </w:rPr>
        <w:t xml:space="preserve">segmentar cada venta por canal</w:t>
      </w:r>
      <w:r>
        <w:t xml:space="preserve"> </w:t>
      </w:r>
      <w:r>
        <w:t xml:space="preserve">— en particular separar la recaudación PAT (32606164) de los pagos Webpay (51709929/35997075) y de los cobros presenciales, algo que la glosa de la cartola no distingue (todos llegan como un único abono</w:t>
      </w:r>
      <w:r>
        <w:t xml:space="preserve"> </w:t>
      </w:r>
      <w:r>
        <w:t xml:space="preserve">“</w:t>
      </w:r>
      <w:r>
        <w:t xml:space="preserve">Transbank 0966893109</w:t>
      </w:r>
      <w:r>
        <w:t xml:space="preserve">”</w:t>
      </w:r>
      <w:r>
        <w:t xml:space="preserve"> </w:t>
      </w:r>
      <w:r>
        <w:t xml:space="preserve">diario).</w:t>
      </w:r>
    </w:p>
    <w:bookmarkEnd w:id="23"/>
    <w:bookmarkStart w:id="24" w:name="actores-del-proceso"/>
    <w:p>
      <w:pPr>
        <w:pStyle w:val="Heading3"/>
      </w:pPr>
      <w:r>
        <w:t xml:space="preserve">1.4 Actores del proceso</w:t>
      </w:r>
    </w:p>
    <w:p>
      <w:pPr>
        <w:numPr>
          <w:ilvl w:val="0"/>
          <w:numId w:val="1002"/>
        </w:numPr>
        <w:pStyle w:val="Compact"/>
      </w:pPr>
      <w:r>
        <w:rPr>
          <w:bCs/>
          <w:b/>
        </w:rPr>
        <w:t xml:space="preserve">Oriana Romero</w:t>
      </w:r>
      <w:r>
        <w:t xml:space="preserve"> </w:t>
      </w:r>
      <w:r>
        <w:t xml:space="preserve">(Recaudación): gestiona el ciclo completo de recaudación y cobranza.</w:t>
      </w:r>
    </w:p>
    <w:p>
      <w:pPr>
        <w:numPr>
          <w:ilvl w:val="0"/>
          <w:numId w:val="1002"/>
        </w:numPr>
        <w:pStyle w:val="Compact"/>
      </w:pPr>
      <w:r>
        <w:rPr>
          <w:bCs/>
          <w:b/>
        </w:rPr>
        <w:t xml:space="preserve">Marcos Ibarra</w:t>
      </w:r>
      <w:r>
        <w:t xml:space="preserve"> </w:t>
      </w:r>
      <w:r>
        <w:t xml:space="preserve">(Analista Adm. y Control de Gestión): envía a Addval el cierre diario de transacciones (L-V); apoyo a recaudación (capacitado por Oriana, 2026-07-07).</w:t>
      </w:r>
    </w:p>
    <w:p>
      <w:pPr>
        <w:numPr>
          <w:ilvl w:val="0"/>
          <w:numId w:val="1002"/>
        </w:numPr>
        <w:pStyle w:val="Compact"/>
      </w:pPr>
      <w:r>
        <w:rPr>
          <w:bCs/>
          <w:b/>
        </w:rPr>
        <w:t xml:space="preserve">Fran</w:t>
      </w:r>
      <w:r>
        <w:t xml:space="preserve"> </w:t>
      </w:r>
      <w:r>
        <w:t xml:space="preserve">(apoyo cobranza): barrido de pagos Webpay/transferencias, respuesta a socios (c/c Oriana), llamadas de cobro, comunicados de eliminación, bajas/cambios de tarjeta.</w:t>
      </w:r>
    </w:p>
    <w:p>
      <w:pPr>
        <w:numPr>
          <w:ilvl w:val="0"/>
          <w:numId w:val="1002"/>
        </w:numPr>
        <w:pStyle w:val="Compact"/>
      </w:pPr>
      <w:r>
        <w:rPr>
          <w:bCs/>
          <w:b/>
        </w:rPr>
        <w:t xml:space="preserve">Addval</w:t>
      </w:r>
      <w:r>
        <w:t xml:space="preserve"> </w:t>
      </w:r>
      <w:r>
        <w:t xml:space="preserve">(externo): sube los registros a Manager+</w:t>
      </w:r>
      <w:r>
        <w:t xml:space="preserve"> </w:t>
      </w:r>
      <w:r>
        <w:rPr>
          <w:bCs/>
          <w:b/>
        </w:rPr>
        <w:t xml:space="preserve">todos los días de lunes a viernes</w:t>
      </w:r>
      <w:r>
        <w:t xml:space="preserve">, con</w:t>
      </w:r>
      <w:r>
        <w:t xml:space="preserve"> </w:t>
      </w:r>
      <w:r>
        <w:rPr>
          <w:bCs/>
          <w:b/>
        </w:rPr>
        <w:t xml:space="preserve">hasta 48 horas de plazo</w:t>
      </w:r>
      <w:r>
        <w:t xml:space="preserve"> </w:t>
      </w:r>
      <w:r>
        <w:t xml:space="preserve">desde el envío (ej.: cierre del 06-jul enviado el 07 → plazo jueves 09). Rebaja la deuda del socio.</w:t>
      </w:r>
    </w:p>
    <w:p>
      <w:pPr>
        <w:numPr>
          <w:ilvl w:val="0"/>
          <w:numId w:val="1002"/>
        </w:numPr>
        <w:pStyle w:val="Compact"/>
      </w:pPr>
      <w:r>
        <w:rPr>
          <w:bCs/>
          <w:b/>
        </w:rPr>
        <w:t xml:space="preserve">Carla Carvajal</w:t>
      </w:r>
      <w:r>
        <w:t xml:space="preserve"> </w:t>
      </w:r>
      <w:r>
        <w:t xml:space="preserve">(Atención/incorporaciones): informa nuevos socios; gestiona beneficiarios y traspasos de cuota entre empresas.</w:t>
      </w:r>
    </w:p>
    <w:p>
      <w:pPr>
        <w:numPr>
          <w:ilvl w:val="0"/>
          <w:numId w:val="1002"/>
        </w:numPr>
        <w:pStyle w:val="Compact"/>
      </w:pPr>
      <w:r>
        <w:rPr>
          <w:bCs/>
          <w:b/>
        </w:rPr>
        <w:t xml:space="preserve">Patricio Fernández</w:t>
      </w:r>
      <w:r>
        <w:t xml:space="preserve"> </w:t>
      </w:r>
      <w:r>
        <w:t xml:space="preserve">(Adm. y Finanzas): supervisión contable, aprobación de pagos, inscripción de nóminas en banco.</w:t>
      </w:r>
    </w:p>
    <w:p>
      <w:pPr>
        <w:pStyle w:val="BlockText"/>
      </w:pPr>
      <w:r>
        <w:t xml:space="preserve">Javiera Valdovinos ya no está en MundoSocios ni en el proceso.</w:t>
      </w:r>
    </w:p>
    <w:bookmarkEnd w:id="24"/>
    <w:bookmarkEnd w:id="25"/>
    <w:bookmarkStart w:id="32" w:name="situación-actual-as-is"/>
    <w:p>
      <w:pPr>
        <w:pStyle w:val="Heading2"/>
      </w:pPr>
      <w:r>
        <w:t xml:space="preserve">2. Situación actual (AS-IS)</w:t>
      </w:r>
    </w:p>
    <w:bookmarkStart w:id="26" w:name="devengo-cuota-social"/>
    <w:p>
      <w:pPr>
        <w:pStyle w:val="Heading3"/>
      </w:pPr>
      <w:r>
        <w:t xml:space="preserve">2.1 Devengo — Cuota social</w:t>
      </w:r>
    </w:p>
    <w:p>
      <w:pPr>
        <w:numPr>
          <w:ilvl w:val="0"/>
          <w:numId w:val="1003"/>
        </w:numPr>
        <w:pStyle w:val="Compact"/>
      </w:pPr>
      <w:r>
        <w:rPr>
          <w:bCs/>
          <w:b/>
        </w:rPr>
        <w:t xml:space="preserve">Devengo anual masivo (enero):</w:t>
      </w:r>
      <w:r>
        <w:t xml:space="preserve"> </w:t>
      </w:r>
      <w:r>
        <w:t xml:space="preserve">desde los mantenedores</w:t>
      </w:r>
      <w:r>
        <w:t xml:space="preserve"> </w:t>
      </w:r>
      <w:r>
        <w:rPr>
          <w:rStyle w:val="VerbatimChar"/>
        </w:rPr>
        <w:t xml:space="preserve">Mantenedor Cuota Social empresa/persona.xlsx</w:t>
      </w:r>
      <w:r>
        <w:t xml:space="preserve"> </w:t>
      </w:r>
      <w:r>
        <w:t xml:space="preserve">se generan los archivos de importación de 22 columnas (</w:t>
      </w:r>
      <w:r>
        <w:rPr>
          <w:rStyle w:val="VerbatimChar"/>
        </w:rPr>
        <w:t xml:space="preserve">DEVENGO CUOTA SOCIAL EMPRESA/PERSONA ENE-26.xlsx</w:t>
      </w:r>
      <w:r>
        <w:t xml:space="preserve">) y se cargan por el Importador de Manager+. Glosa detalle</w:t>
      </w:r>
      <w:r>
        <w:t xml:space="preserve"> </w:t>
      </w:r>
      <w:r>
        <w:rPr>
          <w:rStyle w:val="VerbatimChar"/>
        </w:rPr>
        <w:t xml:space="preserve">{RUT} CE|CP {AA} {CÁMARA}</w:t>
      </w:r>
      <w:r>
        <w:t xml:space="preserve">; contrapartida con CC ADM.</w:t>
      </w:r>
    </w:p>
    <w:p>
      <w:pPr>
        <w:numPr>
          <w:ilvl w:val="0"/>
          <w:numId w:val="1003"/>
        </w:numPr>
        <w:pStyle w:val="Compact"/>
      </w:pPr>
      <w:r>
        <w:rPr>
          <w:bCs/>
          <w:b/>
        </w:rPr>
        <w:t xml:space="preserve">Incorporaciones durante el año:</w:t>
      </w:r>
      <w:r>
        <w:t xml:space="preserve"> </w:t>
      </w:r>
      <w:r>
        <w:t xml:space="preserve">Carla informa por correo → se calcula la cuota (regla §1.2, con prorrateos manuales cuando aplica) → correo al socio con datos de transferencia (Corporación de Bienestar y Salud, RUT 65.091.028-1, Banco de Chile 8001104309) y enlace Webpay → al pagar: cliente en Manager+, comprobante de Traspaso, ticket de cuota en Zoho, aviso a Atención.</w:t>
      </w:r>
    </w:p>
    <w:bookmarkEnd w:id="26"/>
    <w:bookmarkStart w:id="27" w:name="devengo-seguros-mensual-masivo"/>
    <w:p>
      <w:pPr>
        <w:pStyle w:val="Heading3"/>
      </w:pPr>
      <w:r>
        <w:t xml:space="preserve">2.2 Devengo — Seguros (mensual masivo)</w:t>
      </w:r>
    </w:p>
    <w:p>
      <w:pPr>
        <w:pStyle w:val="FirstParagraph"/>
      </w:pPr>
      <w:r>
        <w:t xml:space="preserve">Mantenedores por seguro (</w:t>
      </w:r>
      <w:r>
        <w:rPr>
          <w:rStyle w:val="VerbatimChar"/>
        </w:rPr>
        <w:t xml:space="preserve">MANT. * 07-26.xlsx</w:t>
      </w:r>
      <w:r>
        <w:t xml:space="preserve">) con: medio de pago (PAC/PAT/DIRECTA/EMPRESA), RUT, nombre, inicio de cobertura, factor UF, estados PAC/PAT (</w:t>
      </w:r>
      <w:r>
        <w:t xml:space="preserve">“</w:t>
      </w:r>
      <w:r>
        <w:t xml:space="preserve">ACTIVO</w:t>
      </w:r>
      <w:r>
        <w:t xml:space="preserve">”</w:t>
      </w:r>
      <w:r>
        <w:t xml:space="preserve">/</w:t>
      </w:r>
      <w:r>
        <w:t xml:space="preserve">“</w:t>
      </w:r>
      <w:r>
        <w:t xml:space="preserve">no cargar</w:t>
      </w:r>
      <w:r>
        <w:t xml:space="preserve">”</w:t>
      </w:r>
      <w:r>
        <w:t xml:space="preserve">), fila de UF por mes y columnas mensuales valorizadas. De ahí se construyen los archivos de importación de 22 columnas (A–V) con contrapartida final (cuenta de ingreso, CC MS, total en HABER). Si un RUT no existe como cliente, el importador rechaza con</w:t>
      </w:r>
      <w:r>
        <w:t xml:space="preserve"> </w:t>
      </w:r>
      <w:r>
        <w:t xml:space="preserve">“</w:t>
      </w:r>
      <w:r>
        <w:t xml:space="preserve">Cliente no existe</w:t>
      </w:r>
      <w:r>
        <w:t xml:space="preserve">”</w:t>
      </w:r>
      <w:r>
        <w:t xml:space="preserve">.</w:t>
      </w:r>
    </w:p>
    <w:p>
      <w:pPr>
        <w:pStyle w:val="BodyText"/>
      </w:pPr>
      <w:r>
        <w:rPr>
          <w:bCs/>
          <w:b/>
        </w:rPr>
        <w:t xml:space="preserve">Puente construido (2026-07-07):</w:t>
      </w:r>
      <w:r>
        <w:t xml:space="preserve"> </w:t>
      </w:r>
      <w:r>
        <w:t xml:space="preserve">los generadores del repositorio (</w:t>
      </w:r>
      <w:r>
        <w:rPr>
          <w:rStyle w:val="VerbatimChar"/>
        </w:rPr>
        <w:t xml:space="preserve">herramientas/generador-devengos/</w:t>
      </w:r>
      <w:r>
        <w:t xml:space="preserve">) producen estos archivos desde un maestro único, con validación previa de RUTs y clientes; montos verificados al peso contra los archivos reales de julio y enero.</w:t>
      </w:r>
    </w:p>
    <w:bookmarkEnd w:id="27"/>
    <w:bookmarkStart w:id="28" w:name="recaudación-y-cobranza"/>
    <w:p>
      <w:pPr>
        <w:pStyle w:val="Heading3"/>
      </w:pPr>
      <w:r>
        <w:t xml:space="preserve">2.3 Recaudación y cobranza</w:t>
      </w:r>
    </w:p>
    <w:p>
      <w:pPr>
        <w:numPr>
          <w:ilvl w:val="0"/>
          <w:numId w:val="1004"/>
        </w:numPr>
        <w:pStyle w:val="Compact"/>
      </w:pPr>
      <w:r>
        <w:t xml:space="preserve">Carga de deuda masiva en Manager+ (devengos mensuales de seguros + cuota social anual).</w:t>
      </w:r>
    </w:p>
    <w:p>
      <w:pPr>
        <w:numPr>
          <w:ilvl w:val="0"/>
          <w:numId w:val="1004"/>
        </w:numPr>
        <w:pStyle w:val="Compact"/>
      </w:pPr>
      <w:r>
        <w:t xml:space="preserve">Nóminas PAC/PAT a los bancos para cargo automático (~80% de seguros).</w:t>
      </w:r>
      <w:r>
        <w:t xml:space="preserve"> </w:t>
      </w:r>
      <w:r>
        <w:rPr>
          <w:bCs/>
          <w:b/>
        </w:rPr>
        <w:t xml:space="preserve">Reintentos automáticos</w:t>
      </w:r>
      <w:r>
        <w:t xml:space="preserve"> </w:t>
      </w:r>
      <w:r>
        <w:t xml:space="preserve">del ciclo PAC/PAT ante rechazo.</w:t>
      </w:r>
    </w:p>
    <w:p>
      <w:pPr>
        <w:numPr>
          <w:ilvl w:val="0"/>
          <w:numId w:val="1004"/>
        </w:numPr>
        <w:pStyle w:val="Compact"/>
      </w:pPr>
      <w:r>
        <w:rPr>
          <w:bCs/>
          <w:b/>
        </w:rPr>
        <w:t xml:space="preserve">Rechazos de cargo</w:t>
      </w:r>
      <w:r>
        <w:t xml:space="preserve"> </w:t>
      </w:r>
      <w:r>
        <w:t xml:space="preserve">— causas frecuentes: monto tope de la tarjeta (ej. tope $90.000), problemas de la tarjeta. El estado de convenios y cargos se revisa en el</w:t>
      </w:r>
      <w:r>
        <w:t xml:space="preserve"> </w:t>
      </w:r>
      <w:r>
        <w:rPr>
          <w:bCs/>
          <w:b/>
        </w:rPr>
        <w:t xml:space="preserve">portal de Transbank</w:t>
      </w:r>
      <w:r>
        <w:t xml:space="preserve"> </w:t>
      </w:r>
      <w:r>
        <w:t xml:space="preserve">(tesorería/estado de socios y períodos de cargo); los reportes no muestran el número de tarjeta rechazada.</w:t>
      </w:r>
    </w:p>
    <w:p>
      <w:pPr>
        <w:numPr>
          <w:ilvl w:val="0"/>
          <w:numId w:val="1004"/>
        </w:numPr>
        <w:pStyle w:val="Compact"/>
      </w:pPr>
      <w:r>
        <w:rPr>
          <w:bCs/>
          <w:b/>
        </w:rPr>
        <w:t xml:space="preserve">Cambio de tarjeta:</w:t>
      </w:r>
      <w:r>
        <w:t xml:space="preserve"> </w:t>
      </w:r>
      <w:r>
        <w:t xml:space="preserve">primero se desactiva la tarjeta en la entidad bancaria y recién entonces se inscribe la nueva. Cambio de PAC a cuenta corriente: requiere enviar el documento original a la oficina y puede demorar</w:t>
      </w:r>
      <w:r>
        <w:t xml:space="preserve"> </w:t>
      </w:r>
      <w:r>
        <w:rPr>
          <w:bCs/>
          <w:b/>
        </w:rPr>
        <w:t xml:space="preserve">hasta 60 días</w:t>
      </w:r>
      <w:r>
        <w:t xml:space="preserve">.</w:t>
      </w:r>
    </w:p>
    <w:p>
      <w:pPr>
        <w:numPr>
          <w:ilvl w:val="0"/>
          <w:numId w:val="1004"/>
        </w:numPr>
        <w:pStyle w:val="Compact"/>
      </w:pPr>
      <w:r>
        <w:t xml:space="preserve">Socios de pago directo: correo con monto; pagos por transferencia, depósito y Webpay. Los socios envían</w:t>
      </w:r>
      <w:r>
        <w:t xml:space="preserve"> </w:t>
      </w:r>
      <w:r>
        <w:rPr>
          <w:bCs/>
          <w:b/>
        </w:rPr>
        <w:t xml:space="preserve">comprobantes por correo a Oriana</w:t>
      </w:r>
      <w:r>
        <w:t xml:space="preserve"> </w:t>
      </w:r>
      <w:r>
        <w:t xml:space="preserve">(la visualización de pagos puede tardar días); Webpay se verifica por código de comercio contra la cuenta de la Cámara.</w:t>
      </w:r>
    </w:p>
    <w:p>
      <w:pPr>
        <w:numPr>
          <w:ilvl w:val="0"/>
          <w:numId w:val="1004"/>
        </w:numPr>
        <w:pStyle w:val="Compact"/>
      </w:pPr>
      <w:r>
        <w:rPr>
          <w:bCs/>
          <w:b/>
        </w:rPr>
        <w:t xml:space="preserve">Ciclo Addval:</w:t>
      </w:r>
      <w:r>
        <w:t xml:space="preserve"> </w:t>
      </w:r>
      <w:r>
        <w:t xml:space="preserve">Marcos envía el cierre diario de transacciones (L-V); Addval registra en Manager+ dentro de 48 h y rebaja deuda. No existe aún control formal del cumplimiento del plazo.</w:t>
      </w:r>
    </w:p>
    <w:p>
      <w:pPr>
        <w:numPr>
          <w:ilvl w:val="0"/>
          <w:numId w:val="1004"/>
        </w:numPr>
        <w:pStyle w:val="Compact"/>
      </w:pPr>
      <w:r>
        <w:t xml:space="preserve">Se activa</w:t>
      </w:r>
      <w:r>
        <w:t xml:space="preserve"> </w:t>
      </w:r>
      <w:r>
        <w:t xml:space="preserve">“</w:t>
      </w:r>
      <w:r>
        <w:t xml:space="preserve">Cuota social al día</w:t>
      </w:r>
      <w:r>
        <w:t xml:space="preserve">”</w:t>
      </w:r>
      <w:r>
        <w:t xml:space="preserve"> </w:t>
      </w:r>
      <w:r>
        <w:t xml:space="preserve">en Zoho para socios regularizados (export/actualización de la base, p. ej. corte del 1 de julio).</w:t>
      </w:r>
    </w:p>
    <w:p>
      <w:pPr>
        <w:numPr>
          <w:ilvl w:val="0"/>
          <w:numId w:val="1004"/>
        </w:numPr>
        <w:pStyle w:val="Compact"/>
      </w:pPr>
      <w:r>
        <w:t xml:space="preserve">Los mantenedores son la fuente confiable del estado de socios y seguros activos (recomendación de Oriana).</w:t>
      </w:r>
    </w:p>
    <w:bookmarkEnd w:id="28"/>
    <w:bookmarkStart w:id="29" w:name="X6c4750a6180aa0f49395335c40c4715984c7a78"/>
    <w:p>
      <w:pPr>
        <w:pStyle w:val="Heading3"/>
      </w:pPr>
      <w:r>
        <w:t xml:space="preserve">2.4 Morosidad y eliminación (ciclo anual real — cuota social)</w:t>
      </w:r>
    </w:p>
    <w:p>
      <w:pPr>
        <w:numPr>
          <w:ilvl w:val="0"/>
          <w:numId w:val="1005"/>
        </w:numPr>
        <w:pStyle w:val="Compact"/>
      </w:pPr>
      <w:r>
        <w:t xml:space="preserve">Socio</w:t>
      </w:r>
      <w:r>
        <w:t xml:space="preserve"> </w:t>
      </w:r>
      <w:r>
        <w:rPr>
          <w:bCs/>
          <w:b/>
        </w:rPr>
        <w:t xml:space="preserve">moroso desde mayo</w:t>
      </w:r>
      <w:r>
        <w:t xml:space="preserve">; gestión de cobro (correos, llamadas) entre mayo y julio.</w:t>
      </w:r>
    </w:p>
    <w:p>
      <w:pPr>
        <w:numPr>
          <w:ilvl w:val="0"/>
          <w:numId w:val="1005"/>
        </w:numPr>
        <w:pStyle w:val="Compact"/>
      </w:pPr>
      <w:r>
        <w:rPr>
          <w:bCs/>
          <w:b/>
        </w:rPr>
        <w:t xml:space="preserve">1 de julio:</w:t>
      </w:r>
      <w:r>
        <w:t xml:space="preserve"> </w:t>
      </w:r>
      <w:r>
        <w:t xml:space="preserve">dos envíos de comunicación — (a) socios eliminados por morosidad de cuota social, (b) socios con seguros en morosidad. Plazo de revisión de pagos hasta el día 7; la eliminación formal se ejecuta después de esa revisión.</w:t>
      </w:r>
    </w:p>
    <w:p>
      <w:pPr>
        <w:numPr>
          <w:ilvl w:val="0"/>
          <w:numId w:val="1005"/>
        </w:numPr>
        <w:pStyle w:val="Compact"/>
      </w:pPr>
      <w:r>
        <w:rPr>
          <w:bCs/>
          <w:b/>
        </w:rPr>
        <w:t xml:space="preserve">Reincorporación:</w:t>
      </w:r>
      <w:r>
        <w:t xml:space="preserve"> </w:t>
      </w:r>
      <w:r>
        <w:t xml:space="preserve">el socio que vuelve debe</w:t>
      </w:r>
      <w:r>
        <w:t xml:space="preserve"> </w:t>
      </w:r>
      <w:r>
        <w:rPr>
          <w:bCs/>
          <w:b/>
        </w:rPr>
        <w:t xml:space="preserve">pagar el año en que se reincorpora</w:t>
      </w:r>
      <w:r>
        <w:t xml:space="preserve"> </w:t>
      </w:r>
      <w:r>
        <w:t xml:space="preserve">y presentar el comprobante como evidencia.</w:t>
      </w:r>
    </w:p>
    <w:p>
      <w:pPr>
        <w:numPr>
          <w:ilvl w:val="0"/>
          <w:numId w:val="1005"/>
        </w:numPr>
        <w:pStyle w:val="Compact"/>
      </w:pPr>
      <w:r>
        <w:t xml:space="preserve">Seguros: parámetro de morosidad</w:t>
      </w:r>
      <w:r>
        <w:t xml:space="preserve"> </w:t>
      </w:r>
      <w:r>
        <w:t xml:space="preserve">“</w:t>
      </w:r>
      <w:r>
        <w:t xml:space="preserve">9</w:t>
      </w:r>
      <w:r>
        <w:t xml:space="preserve">”</w:t>
      </w:r>
      <w:r>
        <w:t xml:space="preserve"> </w:t>
      </w:r>
      <w:r>
        <w:t xml:space="preserve">(☐ precisar unidad/regla con Oriana — ver decisiones).</w:t>
      </w:r>
    </w:p>
    <w:p>
      <w:pPr>
        <w:numPr>
          <w:ilvl w:val="0"/>
          <w:numId w:val="1005"/>
        </w:numPr>
        <w:pStyle w:val="Compact"/>
      </w:pPr>
      <w:r>
        <w:t xml:space="preserve">Renuncias: correo de confirmación al socio antes de procesar la baja. Beneficiarios y traspasos de cuota entre empresas: Carla.</w:t>
      </w:r>
    </w:p>
    <w:bookmarkEnd w:id="29"/>
    <w:bookmarkStart w:id="30" w:name="X0c6caea70232f2b0e998cc00cf16d51bb02c39f"/>
    <w:p>
      <w:pPr>
        <w:pStyle w:val="Heading3"/>
      </w:pPr>
      <w:r>
        <w:t xml:space="preserve">2.5 Conciliación bancaria (mensual, post cierre de mes)</w:t>
      </w:r>
    </w:p>
    <w:p>
      <w:pPr>
        <w:pStyle w:val="FirstParagraph"/>
      </w:pPr>
      <w:r>
        <w:t xml:space="preserve">La cartola del Banco de Chile se descarga del portal</w:t>
      </w:r>
      <w:r>
        <w:t xml:space="preserve"> </w:t>
      </w:r>
      <w:r>
        <w:rPr>
          <w:bCs/>
          <w:b/>
        </w:rPr>
        <w:t xml:space="preserve">en PDF y en Excel</w:t>
      </w:r>
      <w:r>
        <w:t xml:space="preserve"> </w:t>
      </w:r>
      <w:r>
        <w:t xml:space="preserve">(el TXT no es un formato de cartola: es exclusivamente el archivo de</w:t>
      </w:r>
      <w:r>
        <w:t xml:space="preserve"> </w:t>
      </w:r>
      <w:r>
        <w:rPr>
          <w:bCs/>
          <w:b/>
        </w:rPr>
        <w:t xml:space="preserve">nómina de pagos</w:t>
      </w:r>
      <w:r>
        <w:t xml:space="preserve"> </w:t>
      </w:r>
      <w:r>
        <w:t xml:space="preserve">que se carga al banco). El archivo</w:t>
      </w:r>
      <w:r>
        <w:t xml:space="preserve"> </w:t>
      </w:r>
      <w:r>
        <w:rPr>
          <w:bCs/>
          <w:b/>
        </w:rPr>
        <w:t xml:space="preserve">PRECONCILIACIÓN</w:t>
      </w:r>
      <w:r>
        <w:t xml:space="preserve"> </w:t>
      </w:r>
      <w:r>
        <w:t xml:space="preserve">se usa para la conciliación mensual que se hace</w:t>
      </w:r>
      <w:r>
        <w:t xml:space="preserve"> </w:t>
      </w:r>
      <w:r>
        <w:rPr>
          <w:bCs/>
          <w:b/>
        </w:rPr>
        <w:t xml:space="preserve">después del</w:t>
      </w:r>
      <w:r>
        <w:rPr>
          <w:bCs/>
          <w:b/>
        </w:rPr>
        <w:t xml:space="preserve"> </w:t>
      </w:r>
      <w:r>
        <w:rPr>
          <w:bCs/>
          <w:b/>
        </w:rPr>
        <w:t xml:space="preserve">“</w:t>
      </w:r>
      <w:r>
        <w:rPr>
          <w:bCs/>
          <w:b/>
        </w:rPr>
        <w:t xml:space="preserve">cierre de mes</w:t>
      </w:r>
      <w:r>
        <w:rPr>
          <w:bCs/>
          <w:b/>
        </w:rPr>
        <w:t xml:space="preserve">”</w:t>
      </w:r>
      <w:r>
        <w:t xml:space="preserve">: es la cartola del período enriquecida a mano con columnas RUT/CONCEPTO/MÓDULO/CUENTA/OT/CC/LN y estado por fila. Se cuadra contra la cartola, se importa a Manager+ (conciliación automática por fecha+monto, ~78%) y el resto se concilia a mano (convenios PAC: un documento contra múltiples abonos).</w:t>
      </w:r>
    </w:p>
    <w:p>
      <w:pPr>
        <w:pStyle w:val="BodyText"/>
      </w:pPr>
      <w:r>
        <w:rPr>
          <w:bCs/>
          <w:b/>
        </w:rPr>
        <w:t xml:space="preserve">Puente construido (2026-07-07):</w:t>
      </w:r>
      <w:r>
        <w:t xml:space="preserve"> </w:t>
      </w:r>
      <w:r>
        <w:t xml:space="preserve">el cruzador de pagos (</w:t>
      </w:r>
      <w:r>
        <w:rPr>
          <w:rStyle w:val="VerbatimChar"/>
        </w:rPr>
        <w:t xml:space="preserve">herramientas/cruzador-pagos/</w:t>
      </w:r>
      <w:r>
        <w:t xml:space="preserve">) genera el borrador de la PRECONCILIACIÓN desde la cartola + resumen Transbank + maestro, clasificando movimientos y proponiendo RUT.</w:t>
      </w:r>
    </w:p>
    <w:bookmarkEnd w:id="30"/>
    <w:bookmarkStart w:id="31" w:name="puntos-críticos-del-as-is-actualizados"/>
    <w:p>
      <w:pPr>
        <w:pStyle w:val="Heading3"/>
      </w:pPr>
      <w:r>
        <w:t xml:space="preserve">2.6 Puntos críticos del AS-IS (actualizados)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Dolor</w:t>
            </w:r>
          </w:p>
        </w:tc>
        <w:tc>
          <w:tcPr/>
          <w:p>
            <w:pPr>
              <w:pStyle w:val="Compact"/>
              <w:jc w:val="left"/>
            </w:pPr>
            <w:r>
              <w:t xml:space="preserve">Impacto</w:t>
            </w:r>
          </w:p>
        </w:tc>
        <w:tc>
          <w:tcPr/>
          <w:p>
            <w:pPr>
              <w:pStyle w:val="Compact"/>
              <w:jc w:val="left"/>
            </w:pPr>
            <w:r>
              <w:t xml:space="preserve">Estado v2.0</w:t>
            </w:r>
          </w:p>
        </w:tc>
      </w:tr>
      <w:tr>
        <w:tc>
          <w:tcPr/>
          <w:p>
            <w:pPr>
              <w:pStyle w:val="Compact"/>
              <w:jc w:val="left"/>
            </w:pPr>
            <w:r>
              <w:t xml:space="preserve">PC-01</w:t>
            </w:r>
          </w:p>
        </w:tc>
        <w:tc>
          <w:tcPr/>
          <w:p>
            <w:pPr>
              <w:pStyle w:val="Compact"/>
              <w:jc w:val="left"/>
            </w:pPr>
            <w:r>
              <w:t xml:space="preserve">Cruce de pagos entre 3 fuentes (Manager+, Zoho, Excel), ~10 hrs/sem</w:t>
            </w:r>
          </w:p>
        </w:tc>
        <w:tc>
          <w:tcPr/>
          <w:p>
            <w:pPr>
              <w:pStyle w:val="Compact"/>
              <w:jc w:val="left"/>
            </w:pPr>
            <w:r>
              <w:t xml:space="preserve">Alto</w:t>
            </w:r>
          </w:p>
        </w:tc>
        <w:tc>
          <w:tcPr/>
          <w:p>
            <w:pPr>
              <w:pStyle w:val="Compact"/>
              <w:jc w:val="left"/>
            </w:pPr>
            <w:r>
              <w:t xml:space="preserve">Mitigable con el cruzador (calibración pendiente)</w:t>
            </w:r>
          </w:p>
        </w:tc>
      </w:tr>
      <w:tr>
        <w:tc>
          <w:tcPr/>
          <w:p>
            <w:pPr>
              <w:pStyle w:val="Compact"/>
              <w:jc w:val="left"/>
            </w:pPr>
            <w:r>
              <w:t xml:space="preserve">PC-02</w:t>
            </w:r>
          </w:p>
        </w:tc>
        <w:tc>
          <w:tcPr/>
          <w:p>
            <w:pPr>
              <w:pStyle w:val="Compact"/>
              <w:jc w:val="left"/>
            </w:pPr>
            <w:r>
              <w:rPr>
                <w:strike/>
              </w:rPr>
              <w:t xml:space="preserve">Addval sin SLA</w:t>
            </w:r>
            <w:r>
              <w:t xml:space="preserve"> </w:t>
            </w:r>
            <w:r>
              <w:t xml:space="preserve">→ ciclo diario existe (48 h) pero</w:t>
            </w:r>
            <w:r>
              <w:t xml:space="preserve"> </w:t>
            </w:r>
            <w:r>
              <w:rPr>
                <w:bCs/>
                <w:b/>
              </w:rPr>
              <w:t xml:space="preserve">sin control de cumplimiento</w:t>
            </w:r>
          </w:p>
        </w:tc>
        <w:tc>
          <w:tcPr/>
          <w:p>
            <w:pPr>
              <w:pStyle w:val="Compact"/>
              <w:jc w:val="left"/>
            </w:pPr>
            <w:r>
              <w:t xml:space="preserve">Alto</w:t>
            </w:r>
          </w:p>
        </w:tc>
        <w:tc>
          <w:tcPr/>
          <w:p>
            <w:pPr>
              <w:pStyle w:val="Compact"/>
              <w:jc w:val="left"/>
            </w:pPr>
            <w:r>
              <w:t xml:space="preserve">Reformulado; el cruzador puede producir el control</w:t>
            </w:r>
          </w:p>
        </w:tc>
      </w:tr>
      <w:tr>
        <w:tc>
          <w:tcPr/>
          <w:p>
            <w:pPr>
              <w:pStyle w:val="Compact"/>
              <w:jc w:val="left"/>
            </w:pPr>
            <w:r>
              <w:t xml:space="preserve">PC-03</w:t>
            </w:r>
          </w:p>
        </w:tc>
        <w:tc>
          <w:tcPr/>
          <w:p>
            <w:pPr>
              <w:pStyle w:val="Compact"/>
              <w:jc w:val="left"/>
            </w:pPr>
            <w:r>
              <w:t xml:space="preserve">UF manual para cada cobro/incorporación</w:t>
            </w:r>
          </w:p>
        </w:tc>
        <w:tc>
          <w:tcPr/>
          <w:p>
            <w:pPr>
              <w:pStyle w:val="Compact"/>
              <w:jc w:val="left"/>
            </w:pPr>
            <w:r>
              <w:t xml:space="preserve">Medio</w:t>
            </w:r>
          </w:p>
        </w:tc>
        <w:tc>
          <w:tcPr/>
          <w:p>
            <w:pPr>
              <w:pStyle w:val="Compact"/>
              <w:jc w:val="left"/>
            </w:pPr>
            <w:r>
              <w:t xml:space="preserve">Herramienta 04 + generadores lo cubren</w:t>
            </w:r>
          </w:p>
        </w:tc>
      </w:tr>
      <w:tr>
        <w:tc>
          <w:tcPr/>
          <w:p>
            <w:pPr>
              <w:pStyle w:val="Compact"/>
              <w:jc w:val="left"/>
            </w:pPr>
            <w:r>
              <w:t xml:space="preserve">PC-04</w:t>
            </w:r>
          </w:p>
        </w:tc>
        <w:tc>
          <w:tcPr/>
          <w:p>
            <w:pPr>
              <w:pStyle w:val="Compact"/>
              <w:jc w:val="left"/>
            </w:pPr>
            <w:r>
              <w:t xml:space="preserve">Separación fondos propios/terceros manual</w:t>
            </w:r>
          </w:p>
        </w:tc>
        <w:tc>
          <w:tcPr/>
          <w:p>
            <w:pPr>
              <w:pStyle w:val="Compact"/>
              <w:jc w:val="left"/>
            </w:pPr>
            <w:r>
              <w:t xml:space="preserve">Crítico</w:t>
            </w:r>
          </w:p>
        </w:tc>
        <w:tc>
          <w:tcPr/>
          <w:p>
            <w:pPr>
              <w:pStyle w:val="Compact"/>
              <w:jc w:val="left"/>
            </w:pPr>
            <w:r>
              <w:t xml:space="preserve">Sin cambio; reporte mensual en el puente, estructural en Odoo</w:t>
            </w:r>
          </w:p>
        </w:tc>
      </w:tr>
      <w:tr>
        <w:tc>
          <w:tcPr/>
          <w:p>
            <w:pPr>
              <w:pStyle w:val="Compact"/>
              <w:jc w:val="left"/>
            </w:pPr>
            <w:r>
              <w:t xml:space="preserve">PC-05</w:t>
            </w:r>
          </w:p>
        </w:tc>
        <w:tc>
          <w:tcPr/>
          <w:p>
            <w:pPr>
              <w:pStyle w:val="Compact"/>
              <w:jc w:val="left"/>
            </w:pPr>
            <w:r>
              <w:t xml:space="preserve">Sin métricas de emailings de cobranza</w:t>
            </w:r>
          </w:p>
        </w:tc>
        <w:tc>
          <w:tcPr/>
          <w:p>
            <w:pPr>
              <w:pStyle w:val="Compact"/>
              <w:jc w:val="left"/>
            </w:pPr>
            <w:r>
              <w:t xml:space="preserve">Medio</w:t>
            </w:r>
          </w:p>
        </w:tc>
        <w:tc>
          <w:tcPr/>
          <w:p>
            <w:pPr>
              <w:pStyle w:val="Compact"/>
              <w:jc w:val="left"/>
            </w:pPr>
            <w:r>
              <w:t xml:space="preserve">Sin cambio (Campaigns en Ola 2 del plan puente)</w:t>
            </w:r>
          </w:p>
        </w:tc>
      </w:tr>
      <w:tr>
        <w:tc>
          <w:tcPr/>
          <w:p>
            <w:pPr>
              <w:pStyle w:val="Compact"/>
              <w:jc w:val="left"/>
            </w:pPr>
            <w:r>
              <w:t xml:space="preserve">PC-06</w:t>
            </w:r>
          </w:p>
        </w:tc>
        <w:tc>
          <w:tcPr/>
          <w:p>
            <w:pPr>
              <w:pStyle w:val="Compact"/>
              <w:jc w:val="left"/>
            </w:pPr>
            <w:r>
              <w:t xml:space="preserve">Devengos copiando Excel del mes anterior</w:t>
            </w:r>
          </w:p>
        </w:tc>
        <w:tc>
          <w:tcPr/>
          <w:p>
            <w:pPr>
              <w:pStyle w:val="Compact"/>
              <w:jc w:val="left"/>
            </w:pPr>
            <w:r>
              <w:t xml:space="preserve">Alto</w:t>
            </w:r>
          </w:p>
        </w:tc>
        <w:tc>
          <w:tcPr/>
          <w:p>
            <w:pPr>
              <w:pStyle w:val="Compact"/>
              <w:jc w:val="left"/>
            </w:pPr>
            <w:r>
              <w:rPr>
                <w:bCs/>
                <w:b/>
              </w:rPr>
              <w:t xml:space="preserve">Resuelto en puente</w:t>
            </w:r>
            <w:r>
              <w:t xml:space="preserve"> </w:t>
            </w:r>
            <w:r>
              <w:t xml:space="preserve">(generadores; mes en paralelo pendiente)</w:t>
            </w:r>
          </w:p>
        </w:tc>
      </w:tr>
      <w:tr>
        <w:tc>
          <w:tcPr/>
          <w:p>
            <w:pPr>
              <w:pStyle w:val="Compact"/>
              <w:jc w:val="left"/>
            </w:pPr>
            <w:r>
              <w:t xml:space="preserve">PC-07</w:t>
            </w:r>
          </w:p>
        </w:tc>
        <w:tc>
          <w:tcPr/>
          <w:p>
            <w:pPr>
              <w:pStyle w:val="Compact"/>
              <w:jc w:val="left"/>
            </w:pPr>
            <w:r>
              <w:t xml:space="preserve">Conciliación PAC un-documento↔varios-abonos manual</w:t>
            </w:r>
          </w:p>
        </w:tc>
        <w:tc>
          <w:tcPr/>
          <w:p>
            <w:pPr>
              <w:pStyle w:val="Compact"/>
              <w:jc w:val="left"/>
            </w:pPr>
            <w:r>
              <w:t xml:space="preserve">Alto</w:t>
            </w:r>
          </w:p>
        </w:tc>
        <w:tc>
          <w:tcPr/>
          <w:p>
            <w:pPr>
              <w:pStyle w:val="Compact"/>
              <w:jc w:val="left"/>
            </w:pPr>
            <w:r>
              <w:t xml:space="preserve">Sin cambio (nativo en Odoo)</w:t>
            </w:r>
          </w:p>
        </w:tc>
      </w:tr>
      <w:tr>
        <w:tc>
          <w:tcPr/>
          <w:p>
            <w:pPr>
              <w:pStyle w:val="Compact"/>
              <w:jc w:val="left"/>
            </w:pPr>
            <w:r>
              <w:t xml:space="preserve">PC-08</w:t>
            </w:r>
          </w:p>
        </w:tc>
        <w:tc>
          <w:tcPr/>
          <w:p>
            <w:pPr>
              <w:pStyle w:val="Compact"/>
              <w:jc w:val="left"/>
            </w:pPr>
            <w:r>
              <w:t xml:space="preserve">Morosidad sin proceso sistematizado</w:t>
            </w:r>
          </w:p>
        </w:tc>
        <w:tc>
          <w:tcPr/>
          <w:p>
            <w:pPr>
              <w:pStyle w:val="Compact"/>
              <w:jc w:val="left"/>
            </w:pPr>
            <w:r>
              <w:t xml:space="preserve">Alto</w:t>
            </w:r>
          </w:p>
        </w:tc>
        <w:tc>
          <w:tcPr/>
          <w:p>
            <w:pPr>
              <w:pStyle w:val="Compact"/>
              <w:jc w:val="left"/>
            </w:pPr>
            <w:r>
              <w:t xml:space="preserve">Ciclo anual documentado (§2.4); política en borrador para validar</w:t>
            </w:r>
          </w:p>
        </w:tc>
      </w:tr>
      <w:tr>
        <w:tc>
          <w:tcPr/>
          <w:p>
            <w:pPr>
              <w:pStyle w:val="Compact"/>
              <w:jc w:val="left"/>
            </w:pPr>
            <w:r>
              <w:t xml:space="preserve">PC-09 (nuevo)</w:t>
            </w:r>
          </w:p>
        </w:tc>
        <w:tc>
          <w:tcPr/>
          <w:p>
            <w:pPr>
              <w:pStyle w:val="Compact"/>
              <w:jc w:val="left"/>
            </w:pPr>
            <w:r>
              <w:t xml:space="preserve">Rechazos PAC/PAT sin reporte de causa por socio (número de tarjeta no visible)</w:t>
            </w:r>
          </w:p>
        </w:tc>
        <w:tc>
          <w:tcPr/>
          <w:p>
            <w:pPr>
              <w:pStyle w:val="Compact"/>
              <w:jc w:val="left"/>
            </w:pPr>
            <w:r>
              <w:t xml:space="preserve">Medio</w:t>
            </w:r>
          </w:p>
        </w:tc>
        <w:tc>
          <w:tcPr/>
          <w:p>
            <w:pPr>
              <w:pStyle w:val="Compact"/>
              <w:jc w:val="left"/>
            </w:pPr>
            <w:r>
              <w:t xml:space="preserve">Levantar rendición PAC del banco</w:t>
            </w:r>
          </w:p>
        </w:tc>
      </w:tr>
    </w:tbl>
    <w:bookmarkEnd w:id="31"/>
    <w:bookmarkEnd w:id="32"/>
    <w:bookmarkStart w:id="33" w:name="diseño-futuro-en-odoo-to-be"/>
    <w:p>
      <w:pPr>
        <w:pStyle w:val="Heading2"/>
      </w:pPr>
      <w:r>
        <w:t xml:space="preserve">3. Diseño futuro en Odoo (TO-BE)</w:t>
      </w:r>
    </w:p>
    <w:p>
      <w:pPr>
        <w:pStyle w:val="FirstParagraph"/>
      </w:pPr>
      <w:r>
        <w:t xml:space="preserve">Sin cambios de fondo respecto de v1.0 (contactos + suscripciones + devengo automático + follow-up + conciliación nativa), con estas precisiones:</w:t>
      </w:r>
      <w:r>
        <w:t xml:space="preserve"> </w:t>
      </w:r>
      <w:r>
        <w:t xml:space="preserve">- Los productos de suscripción se configuran con los valores y cuentas de §1.2 (incluidas las cuentas cruzadas de persona y la UF por fecha específica por seguro). Ver</w:t>
      </w:r>
      <w:r>
        <w:t xml:space="preserve"> </w:t>
      </w:r>
      <w:r>
        <w:rPr>
          <w:rStyle w:val="VerbatimChar"/>
        </w:rPr>
        <w:t xml:space="preserve">docs/odoo/Especificacion_Suscripciones_Cobro_Recurrente_Odoo.md</w:t>
      </w:r>
      <w:r>
        <w:t xml:space="preserve">.</w:t>
      </w:r>
      <w:r>
        <w:t xml:space="preserve"> </w:t>
      </w:r>
      <w:r>
        <w:t xml:space="preserve">- La cuota social empresa se modela con cantidad = unidades UF (3 + adicionales por miembro desde el 4º), recalculada en la renovación anual.</w:t>
      </w:r>
      <w:r>
        <w:t xml:space="preserve"> </w:t>
      </w:r>
      <w:r>
        <w:t xml:space="preserve">- El registro de pagos se internaliza o se mantiene con Addval con usuario limitado en Odoo, con SLA de 48 h medido por el sistema.</w:t>
      </w:r>
      <w:r>
        <w:t xml:space="preserve"> </w:t>
      </w:r>
      <w:r>
        <w:t xml:space="preserve">- Las reglas de morosidad parametrizan el ciclo real (§2.4): aging desde el vencimiento, comunicados masivos programados, suspensión/eliminación con ventana de revisión, reincorporación con pago del año en curso.</w:t>
      </w:r>
    </w:p>
    <w:bookmarkEnd w:id="33"/>
    <w:bookmarkStart w:id="34" w:name="reportes-clave"/>
    <w:p>
      <w:pPr>
        <w:pStyle w:val="Heading2"/>
      </w:pPr>
      <w:r>
        <w:t xml:space="preserve">4. Reportes clave</w:t>
      </w:r>
    </w:p>
    <w:p>
      <w:pPr>
        <w:pStyle w:val="FirstParagraph"/>
      </w:pPr>
      <w:r>
        <w:t xml:space="preserve">Recaudación por período/producto/cámara · morosidad por tramo y producto (con corte anual de eliminación) · fondos de terceros: recaudado vs pagado a aseguradoras · cumplimiento Addval (envío vs registro, 48 h) · rechazos PAC/PAT y recuperación · efectividad de correos de cobranza · tasa de auto-conciliación.</w:t>
      </w:r>
    </w:p>
    <w:bookmarkEnd w:id="34"/>
    <w:bookmarkStart w:id="35" w:name="decisiones-pendientes-actualizadas"/>
    <w:p>
      <w:pPr>
        <w:pStyle w:val="Heading2"/>
      </w:pPr>
      <w:r>
        <w:t xml:space="preserve">5. Decisiones pendientes (actualizadas)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Decisión</w:t>
            </w:r>
          </w:p>
        </w:tc>
        <w:tc>
          <w:tcPr/>
          <w:p>
            <w:pPr>
              <w:pStyle w:val="Compact"/>
              <w:jc w:val="left"/>
            </w:pPr>
            <w:r>
              <w:t xml:space="preserve">Responsable</w:t>
            </w:r>
          </w:p>
        </w:tc>
      </w:tr>
      <w:tr>
        <w:tc>
          <w:tcPr/>
          <w:p>
            <w:pPr>
              <w:pStyle w:val="Compact"/>
              <w:jc w:val="left"/>
            </w:pPr>
            <w:r>
              <w:t xml:space="preserve">DP-01</w:t>
            </w:r>
          </w:p>
        </w:tc>
        <w:tc>
          <w:tcPr/>
          <w:p>
            <w:pPr>
              <w:pStyle w:val="Compact"/>
              <w:jc w:val="left"/>
            </w:pPr>
            <w:r>
              <w:t xml:space="preserve">Rol de Addval post-migración (internalizar vs acceso limitado)</w:t>
            </w:r>
          </w:p>
        </w:tc>
        <w:tc>
          <w:tcPr/>
          <w:p>
            <w:pPr>
              <w:pStyle w:val="Compact"/>
              <w:jc w:val="left"/>
            </w:pPr>
            <w:r>
              <w:t xml:space="preserve">Patricio + Constanza</w:t>
            </w:r>
          </w:p>
        </w:tc>
      </w:tr>
      <w:tr>
        <w:tc>
          <w:tcPr/>
          <w:p>
            <w:pPr>
              <w:pStyle w:val="Compact"/>
              <w:jc w:val="left"/>
            </w:pPr>
            <w:r>
              <w:t xml:space="preserve">DP-02</w:t>
            </w:r>
          </w:p>
        </w:tc>
        <w:tc>
          <w:tcPr/>
          <w:p>
            <w:pPr>
              <w:pStyle w:val="Compact"/>
              <w:jc w:val="left"/>
            </w:pPr>
            <w:r>
              <w:t xml:space="preserve">Control de cumplimiento del plazo 48 h de Addval (hoy sin registro)</w:t>
            </w:r>
          </w:p>
        </w:tc>
        <w:tc>
          <w:tcPr/>
          <w:p>
            <w:pPr>
              <w:pStyle w:val="Compact"/>
              <w:jc w:val="left"/>
            </w:pPr>
            <w:r>
              <w:t xml:space="preserve">Patricio + Marcos</w:t>
            </w:r>
          </w:p>
        </w:tc>
      </w:tr>
      <w:tr>
        <w:tc>
          <w:tcPr/>
          <w:p>
            <w:pPr>
              <w:pStyle w:val="Compact"/>
              <w:jc w:val="left"/>
            </w:pPr>
            <w:r>
              <w:t xml:space="preserve">DP-03</w:t>
            </w:r>
          </w:p>
        </w:tc>
        <w:tc>
          <w:tcPr/>
          <w:p>
            <w:pPr>
              <w:pStyle w:val="Compact"/>
              <w:jc w:val="left"/>
            </w:pPr>
            <w:r>
              <w:t xml:space="preserve">Pasarela PAC/PAT (Toku/Nuvei/otro)</w:t>
            </w:r>
          </w:p>
        </w:tc>
        <w:tc>
          <w:tcPr/>
          <w:p>
            <w:pPr>
              <w:pStyle w:val="Compact"/>
              <w:jc w:val="left"/>
            </w:pPr>
            <w:r>
              <w:t xml:space="preserve">Patricio + Partner</w:t>
            </w:r>
          </w:p>
        </w:tc>
      </w:tr>
      <w:tr>
        <w:tc>
          <w:tcPr/>
          <w:p>
            <w:pPr>
              <w:pStyle w:val="Compact"/>
              <w:jc w:val="left"/>
            </w:pPr>
            <w:r>
              <w:t xml:space="preserve">DP-04</w:t>
            </w:r>
          </w:p>
        </w:tc>
        <w:tc>
          <w:tcPr/>
          <w:p>
            <w:pPr>
              <w:pStyle w:val="Compact"/>
              <w:jc w:val="left"/>
            </w:pPr>
            <w:r>
              <w:t xml:space="preserve">Regla de morosidad de seguros (</w:t>
            </w:r>
            <w:r>
              <w:t xml:space="preserve">“</w:t>
            </w:r>
            <w:r>
              <w:t xml:space="preserve">9</w:t>
            </w:r>
            <w:r>
              <w:t xml:space="preserve">”</w:t>
            </w:r>
            <w:r>
              <w:t xml:space="preserve">: ☐ precisar si son meses, UF u otro) y formalización de la política (borrador en</w:t>
            </w:r>
            <w:r>
              <w:t xml:space="preserve"> </w:t>
            </w:r>
            <w:r>
              <w:rPr>
                <w:rStyle w:val="VerbatimChar"/>
              </w:rPr>
              <w:t xml:space="preserve">docs/fase-0/</w:t>
            </w:r>
            <w:r>
              <w:t xml:space="preserve">)</w:t>
            </w:r>
          </w:p>
        </w:tc>
        <w:tc>
          <w:tcPr/>
          <w:p>
            <w:pPr>
              <w:pStyle w:val="Compact"/>
              <w:jc w:val="left"/>
            </w:pPr>
            <w:r>
              <w:t xml:space="preserve">Constanza + Oriana</w:t>
            </w:r>
          </w:p>
        </w:tc>
      </w:tr>
      <w:tr>
        <w:tc>
          <w:tcPr/>
          <w:p>
            <w:pPr>
              <w:pStyle w:val="Compact"/>
              <w:jc w:val="left"/>
            </w:pPr>
            <w:r>
              <w:t xml:space="preserve">DP-05</w:t>
            </w:r>
          </w:p>
        </w:tc>
        <w:tc>
          <w:tcPr/>
          <w:p>
            <w:pPr>
              <w:pStyle w:val="Compact"/>
              <w:jc w:val="left"/>
            </w:pPr>
            <w:r>
              <w:t xml:space="preserve">UF de cierre enero/febrero/marzo: precisar cuál aplica a qué caso de cuota social</w:t>
            </w:r>
          </w:p>
        </w:tc>
        <w:tc>
          <w:tcPr/>
          <w:p>
            <w:pPr>
              <w:pStyle w:val="Compact"/>
              <w:jc w:val="left"/>
            </w:pPr>
            <w:r>
              <w:t xml:space="preserve">Patricio</w:t>
            </w:r>
          </w:p>
        </w:tc>
      </w:tr>
      <w:tr>
        <w:tc>
          <w:tcPr/>
          <w:p>
            <w:pPr>
              <w:pStyle w:val="Compact"/>
              <w:jc w:val="left"/>
            </w:pPr>
            <w:r>
              <w:t xml:space="preserve">DP-06</w:t>
            </w:r>
          </w:p>
        </w:tc>
        <w:tc>
          <w:tcPr/>
          <w:p>
            <w:pPr>
              <w:pStyle w:val="Compact"/>
              <w:jc w:val="left"/>
            </w:pPr>
            <w:r>
              <w:t xml:space="preserve">Pagos parciales: reglas contables</w:t>
            </w:r>
          </w:p>
        </w:tc>
        <w:tc>
          <w:tcPr/>
          <w:p>
            <w:pPr>
              <w:pStyle w:val="Compact"/>
              <w:jc w:val="left"/>
            </w:pPr>
            <w:r>
              <w:t xml:space="preserve">Patricio</w:t>
            </w:r>
          </w:p>
        </w:tc>
      </w:tr>
      <w:tr>
        <w:tc>
          <w:tcPr/>
          <w:p>
            <w:pPr>
              <w:pStyle w:val="Compact"/>
              <w:jc w:val="left"/>
            </w:pPr>
            <w:r>
              <w:t xml:space="preserve">DP-07</w:t>
            </w:r>
          </w:p>
        </w:tc>
        <w:tc>
          <w:tcPr/>
          <w:p>
            <w:pPr>
              <w:pStyle w:val="Compact"/>
              <w:jc w:val="left"/>
            </w:pPr>
            <w:r>
              <w:t xml:space="preserve">Fecha de corte del devengo mensual de seguros</w:t>
            </w:r>
          </w:p>
        </w:tc>
        <w:tc>
          <w:tcPr/>
          <w:p>
            <w:pPr>
              <w:pStyle w:val="Compact"/>
              <w:jc w:val="left"/>
            </w:pPr>
            <w:r>
              <w:t xml:space="preserve">Patricio + Oriana</w:t>
            </w:r>
          </w:p>
        </w:tc>
      </w:tr>
      <w:tr>
        <w:tc>
          <w:tcPr/>
          <w:p>
            <w:pPr>
              <w:pStyle w:val="Compact"/>
              <w:jc w:val="left"/>
            </w:pPr>
            <w:r>
              <w:t xml:space="preserve">DP-08</w:t>
            </w:r>
          </w:p>
        </w:tc>
        <w:tc>
          <w:tcPr/>
          <w:p>
            <w:pPr>
              <w:pStyle w:val="Compact"/>
              <w:jc w:val="left"/>
            </w:pPr>
            <w:r>
              <w:t xml:space="preserve">Saldos iniciales Manager+: migración total o corte contable</w:t>
            </w:r>
          </w:p>
        </w:tc>
        <w:tc>
          <w:tcPr/>
          <w:p>
            <w:pPr>
              <w:pStyle w:val="Compact"/>
              <w:jc w:val="left"/>
            </w:pPr>
            <w:r>
              <w:t xml:space="preserve">Patricio + Partner</w:t>
            </w:r>
          </w:p>
        </w:tc>
      </w:tr>
    </w:tbl>
    <w:p>
      <w:r>
        <w:pict>
          <v:rect style="width:0;height:1.5pt" o:hralign="center" o:hrstd="t" o:hr="t"/>
        </w:pict>
      </w:r>
    </w:p>
    <w:p>
      <w:pPr>
        <w:pStyle w:val="FirstParagraph"/>
      </w:pPr>
      <w:r>
        <w:rPr>
          <w:bCs/>
          <w:b/>
        </w:rPr>
        <w:t xml:space="preserve">Preparado por:</w:t>
      </w:r>
      <w:r>
        <w:t xml:space="preserve"> </w:t>
      </w:r>
      <w:r>
        <w:t xml:space="preserve">José Ramón Jottar — JR Jottar Consultoría</w:t>
      </w:r>
      <w:r>
        <w:t xml:space="preserve"> </w:t>
      </w:r>
      <w:r>
        <w:rPr>
          <w:bCs/>
          <w:b/>
        </w:rPr>
        <w:t xml:space="preserve">Pendiente de validación por:</w:t>
      </w:r>
      <w:r>
        <w:t xml:space="preserve"> </w:t>
      </w:r>
      <w:r>
        <w:t xml:space="preserve">Oriana Romero (Recaudación) · Patricio Fernández (Adm. y Finanzas) · Marcos Ibarra (Adm. y Control de Gestión)</w:t>
      </w:r>
    </w:p>
    <w:bookmarkEnd w:id="35"/>
    <w:bookmarkStart w:id="39" w:name="X3934ebd7fe0584675c704c3259366b631b7a804"/>
    <w:p>
      <w:pPr>
        <w:pStyle w:val="Heading2"/>
      </w:pPr>
      <w:r>
        <w:t xml:space="preserve">Anexo — Diagrama de flujo: Recaudación y cobranza recurrente (v2.0)</w:t>
      </w:r>
    </w:p>
    <w:p>
      <w:pPr>
        <w:pStyle w:val="FirstParagraph"/>
      </w:pPr>
      <w:r>
        <w:drawing>
          <wp:inline>
            <wp:extent cx="5334000" cy="14076589"/>
            <wp:effectExtent b="0" l="0" r="0" t="0"/>
            <wp:docPr descr="" title="" id="37" name="Picture"/>
            <a:graphic>
              <a:graphicData uri="http://schemas.openxmlformats.org/drawingml/2006/picture">
                <pic:pic>
                  <pic:nvPicPr>
                    <pic:cNvPr descr="/home/user/MUNDOSOCIOS_ODOO/docs/flujos-proceso/diagramas/BP_Recaudacion_Cobranza_Recurrente_MundoSocios_v2.png" id="38" name="Picture"/>
                    <pic:cNvPicPr>
                      <a:picLocks noChangeArrowheads="1" noChangeAspect="1"/>
                    </pic:cNvPicPr>
                  </pic:nvPicPr>
                  <pic:blipFill>
                    <a:blip r:embed="rId36"/>
                    <a:stretch>
                      <a:fillRect/>
                    </a:stretch>
                  </pic:blipFill>
                  <pic:spPr bwMode="auto">
                    <a:xfrm>
                      <a:off x="0" y="0"/>
                      <a:ext cx="5334000" cy="14076589"/>
                    </a:xfrm>
                    <a:prstGeom prst="rect">
                      <a:avLst/>
                    </a:prstGeom>
                    <a:noFill/>
                    <a:ln w="9525">
                      <a:noFill/>
                      <a:headEnd/>
                      <a:tailEnd/>
                    </a:ln>
                  </pic:spPr>
                </pic:pic>
              </a:graphicData>
            </a:graphic>
          </wp:inline>
        </w:drawing>
      </w:r>
    </w:p>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6" Target="media/rId3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2026-07-31T14:55:02Z</dcterms:created>
  <dcterms:modified xsi:type="dcterms:W3CDTF">2026-07-31T14:55:02Z</dcterms:modified>
</cp:coreProperties>
</file>

<file path=docProps/custom.xml><?xml version="1.0" encoding="utf-8"?>
<Properties xmlns="http://schemas.openxmlformats.org/officeDocument/2006/custom-properties" xmlns:vt="http://schemas.openxmlformats.org/officeDocument/2006/docPropsVTypes"/>
</file>