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rtl w:val="0"/>
        </w:rPr>
        <w:t xml:space="preserve">¿QUE ES LA NORMA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ISO 19011?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2"/>
          <w:szCs w:val="22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q110xhaqmcmp" w:id="1"/>
      <w:bookmarkEnd w:id="1"/>
      <w:r w:rsidDel="00000000" w:rsidR="00000000" w:rsidRPr="00000000">
        <w:rPr>
          <w:rtl w:val="0"/>
        </w:rPr>
        <w:t xml:space="preserve">– Jose Luis Tamara, Camilo Hernandez, Esteban Isaza, Josué David Gonzalez. 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AUDITORIA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ezioxomjx0vv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e3e3e3"/>
          <w:sz w:val="24"/>
          <w:szCs w:val="24"/>
          <w:shd w:fill="131314" w:val="clear"/>
          <w:rtl w:val="0"/>
        </w:rPr>
        <w:t xml:space="preserve">La norma ISO 19011:2018, titulada "Directrices para la auditoría de los sistemas de gestión", es una norma internacional que proporciona directrices para la gestión de un programa de auditoría, la planificación y realización de auditorías de sistemas de gestión, la evaluación de la competencia y desempeño de los auditores.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ecc3w1npzhom" w:id="3"/>
      <w:bookmarkEnd w:id="3"/>
      <w:r w:rsidDel="00000000" w:rsidR="00000000" w:rsidRPr="00000000">
        <w:rPr>
          <w:rtl w:val="0"/>
        </w:rPr>
        <w:t xml:space="preserve">¿A quién aplica la norma ISO 19011?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norma se aplica a una amplia gama de usuarios, incluyendo: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Auditores: Les proporciona un marco de referencia para realizar auditorías de manera profesional y consistente.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Organizaciones que implementan sistemas de gestión: les ayuda a comprender los principios de la auditoría y cómo prepararse para una auditoría externa. 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Organizaciones que necesitan realizar auditorías de sistemas de gestión: Les proporciona directrices para establecer y gestionar un programa de auditoría eficaz.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1857b"/>
        </w:rPr>
      </w:pPr>
      <w:bookmarkStart w:colFirst="0" w:colLast="0" w:name="_7ucxaf5zvszr" w:id="4"/>
      <w:bookmarkEnd w:id="4"/>
      <w:r w:rsidDel="00000000" w:rsidR="00000000" w:rsidRPr="00000000">
        <w:rPr>
          <w:rtl w:val="0"/>
        </w:rPr>
        <w:t xml:space="preserve">¿Cuáles son los beneficios de la norma ISO 19011?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implementación de la norma ISO 19011 puede aportar los siguientes beneficios: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la eficacia y la eficiencia de las auditorías.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la confianza en los resultados de las auditorías.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Ayuda a asegurar que las auditorías se realizan de manera imparcial y objetiva.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Promueve la mejora continua de los sistemas de gestión.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l72gmg1hndah" w:id="5"/>
      <w:bookmarkEnd w:id="5"/>
      <w:r w:rsidDel="00000000" w:rsidR="00000000" w:rsidRPr="00000000">
        <w:rPr>
          <w:rtl w:val="0"/>
        </w:rPr>
        <w:t xml:space="preserve">¿Cuáles son los principales requisitos de la norma ISO 19011?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La ISO 19011 se estructura en torno a los siguientes principios: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Enfoque basado en riesgos: Las auditorías deben enfocarse en los riesgos que son más relevantes para la organización y sus sistemas de gestión.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Imparcialidad y objetividad: los auditores deben ser imparciales y objetivos en su evaluación de los sistemas de gestión.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Evidencia: las auditorías deben basar se en evidencia objetiva y verificable.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Enfoque de mejora continua: las auditorías deben ayudar a la organización a mejorar continuamente sus sistemas de gestión.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ssji961o8ovz" w:id="6"/>
      <w:bookmarkEnd w:id="6"/>
      <w:r w:rsidDel="00000000" w:rsidR="00000000" w:rsidRPr="00000000">
        <w:rPr>
          <w:rtl w:val="0"/>
        </w:rPr>
        <w:t xml:space="preserve">¿Cuáles son las principales etapas de una auditoría de acuerdo a la norma ISO 19011?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Las principales etapas de una auditoría de acuerdo a la norma ISO 19011 son: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Planificación: se define el alcance, los objetivos y el enfoque de la auditoría.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Realización: se recopila y analiza la evidencia.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comunicación:reunión de cierre para presentar hallazgos preliminares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informe: documentar hallazgos, conclusiones y recomendaciones.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Seguimiento: se realiza un seguimiento de las acciones correctivas y preventivas.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cierre: confirmar resolución de cuestiones pendientes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B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7"/>
    <w:bookmarkEnd w:id="7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8"/>
          <w:bookmarkEnd w:id="8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10"/>
    <w:bookmarkEnd w:id="1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1807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s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