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36"/>
        </w:rPr>
        <w:t>MANUAL DE ADMINISTRACIÓN DE LIIC APRENDE</w:t>
      </w:r>
    </w:p>
    <w:p>
      <w:pPr>
        <w:spacing w:after="600"/>
        <w:jc w:val="center"/>
      </w:pPr>
      <w:r>
        <w:rPr>
          <w:i/>
          <w:sz w:val="24"/>
        </w:rPr>
        <w:t>Plataforma de apoyo al aprendizaje práctico del Laboratorio Integrado de Ingeniería Civil – Universidad del Magdalena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9E2F3"/>
          </w:tcPr>
          <w:p>
            <w:r>
              <w:rPr>
                <w:b/>
              </w:rPr>
              <w:t>Versión de la plataforma</w:t>
            </w:r>
          </w:p>
        </w:tc>
        <w:tc>
          <w:tcPr>
            <w:tcW w:type="dxa" w:w="4703"/>
          </w:tcPr>
          <w:p>
            <w:r>
              <w:t>1.0 (octubre de 2026)</w:t>
            </w:r>
          </w:p>
        </w:tc>
      </w:tr>
      <w:tr>
        <w:tc>
          <w:tcPr>
            <w:tcW w:type="dxa" w:w="4703"/>
            <w:shd w:val="clear" w:color="auto" w:fill="D9E2F3"/>
          </w:tcPr>
          <w:p>
            <w:r>
              <w:rPr>
                <w:b/>
              </w:rPr>
              <w:t>Sitio publicado</w:t>
            </w:r>
          </w:p>
        </w:tc>
        <w:tc>
          <w:tcPr>
            <w:tcW w:type="dxa" w:w="4703"/>
          </w:tcPr>
          <w:p>
            <w:r>
              <w:t>https://josevillamizarm.github.io/liic-aprende/</w:t>
            </w:r>
          </w:p>
        </w:tc>
      </w:tr>
      <w:tr>
        <w:tc>
          <w:tcPr>
            <w:tcW w:type="dxa" w:w="4703"/>
            <w:shd w:val="clear" w:color="auto" w:fill="D9E2F3"/>
          </w:tcPr>
          <w:p>
            <w:r>
              <w:rPr>
                <w:b/>
              </w:rPr>
              <w:t>Repositorio del código</w:t>
            </w:r>
          </w:p>
        </w:tc>
        <w:tc>
          <w:tcPr>
            <w:tcW w:type="dxa" w:w="4703"/>
          </w:tcPr>
          <w:p>
            <w:r>
              <w:t>https://github.com/Josevillamizarm/liic-aprende</w:t>
            </w:r>
          </w:p>
        </w:tc>
      </w:tr>
      <w:tr>
        <w:tc>
          <w:tcPr>
            <w:tcW w:type="dxa" w:w="4703"/>
            <w:shd w:val="clear" w:color="auto" w:fill="D9E2F3"/>
          </w:tcPr>
          <w:p>
            <w:r>
              <w:rPr>
                <w:b/>
              </w:rPr>
              <w:t>Elaborado por</w:t>
            </w:r>
          </w:p>
        </w:tc>
        <w:tc>
          <w:tcPr>
            <w:tcW w:type="dxa" w:w="4703"/>
          </w:tcPr>
          <w:p>
            <w:r>
              <w:t>José David Villamizar Monterroza – Practicante 2026-II</w:t>
            </w:r>
          </w:p>
        </w:tc>
      </w:tr>
      <w:tr>
        <w:tc>
          <w:tcPr>
            <w:tcW w:type="dxa" w:w="4703"/>
            <w:shd w:val="clear" w:color="auto" w:fill="D9E2F3"/>
          </w:tcPr>
          <w:p>
            <w:r>
              <w:rPr>
                <w:b/>
              </w:rPr>
              <w:t>Dirigido a</w:t>
            </w:r>
          </w:p>
        </w:tc>
        <w:tc>
          <w:tcPr>
            <w:tcW w:type="dxa" w:w="4703"/>
          </w:tcPr>
          <w:p>
            <w:r>
              <w:t>Dirección, personal y futuros practicantes del LIIC</w:t>
            </w:r>
          </w:p>
        </w:tc>
      </w:tr>
    </w:tbl>
    <w:p>
      <w:r>
        <w:br w:type="page"/>
      </w:r>
    </w:p>
    <w:p>
      <w:pPr>
        <w:pStyle w:val="Heading1"/>
      </w:pPr>
      <w:r>
        <w:t>1. Propósito y alcance</w:t>
      </w:r>
    </w:p>
    <w:p>
      <w:pPr>
        <w:spacing w:after="120" w:line="276" w:lineRule="auto"/>
        <w:jc w:val="both"/>
      </w:pPr>
      <w:r>
        <w:t>Este manual describe de manera práctica cómo administrar, actualizar y ampliar la plataforma LIIC Aprende, con el fin de garantizar su sostenibilidad y la confiabilidad de sus contenidos una vez finalizada la práctica profesional en la que se desarrolló. Está dirigido a la persona que la Dirección del LIIC designe como administradora y a los practicantes que continúen el proyecto, y no requiere conocimientos avanzados de programación: la mayoría de las tareas se realizan editando texto directamente en GitHub.</w:t>
      </w:r>
    </w:p>
    <w:p>
      <w:pPr>
        <w:spacing w:after="120" w:line="276" w:lineRule="auto"/>
        <w:jc w:val="both"/>
      </w:pPr>
      <w:r>
        <w:t>El manual se divide en dos partes. La Parte A explica las tareas de administración cotidiana —corregir contenidos, cambiar fotografías, controlar versiones y gestionar permisos—. La Parte B describe el procedimiento para ampliar la plataforma con nuevos ensayos, prácticas y asignaturas, siguiendo la misma metodología empleada en la Fase I.</w:t>
      </w:r>
    </w:p>
    <w:p>
      <w:pPr>
        <w:pStyle w:val="Heading1"/>
      </w:pPr>
      <w:r>
        <w:t>2. Roles y responsabilidades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Rol</w:t>
            </w:r>
          </w:p>
        </w:tc>
        <w:tc>
          <w:tcPr>
            <w:tcW w:type="dxa" w:w="3135"/>
            <w:shd w:val="clear" w:color="auto" w:fill="1F4E79"/>
          </w:tcPr>
          <w:p>
            <w:r>
              <w:rPr>
                <w:b/>
                <w:color w:val="FFFFFF"/>
                <w:sz w:val="20"/>
              </w:rPr>
              <w:t>Quién lo ejerce</w:t>
            </w:r>
          </w:p>
        </w:tc>
        <w:tc>
          <w:tcPr>
            <w:tcW w:type="dxa" w:w="3135"/>
            <w:shd w:val="clear" w:color="auto" w:fill="1F4E79"/>
          </w:tcPr>
          <w:p>
            <w:r>
              <w:rPr>
                <w:b/>
                <w:color w:val="FFFFFF"/>
                <w:sz w:val="20"/>
              </w:rPr>
              <w:t>Responsabilidades</w:t>
            </w:r>
          </w:p>
        </w:tc>
      </w:tr>
      <w:tr>
        <w:tc>
          <w:tcPr>
            <w:tcW w:type="dxa" w:w="3135"/>
          </w:tcPr>
          <w:p>
            <w:r>
              <w:rPr>
                <w:sz w:val="20"/>
              </w:rPr>
              <w:t>Responsable institucional</w:t>
            </w:r>
          </w:p>
        </w:tc>
        <w:tc>
          <w:tcPr>
            <w:tcW w:type="dxa" w:w="3135"/>
          </w:tcPr>
          <w:p>
            <w:r>
              <w:rPr>
                <w:sz w:val="20"/>
              </w:rPr>
              <w:t>Dirección del LIIC</w:t>
            </w:r>
          </w:p>
        </w:tc>
        <w:tc>
          <w:tcPr>
            <w:tcW w:type="dxa" w:w="3135"/>
          </w:tcPr>
          <w:p>
            <w:r>
              <w:rPr>
                <w:sz w:val="20"/>
              </w:rPr>
              <w:t>Designar al administrador, aprobar la incorporación de nuevos módulos y custodiar el acceso a la cuenta de GitHub del laboratorio.</w:t>
            </w:r>
          </w:p>
        </w:tc>
      </w:tr>
      <w:tr>
        <w:tc>
          <w:tcPr>
            <w:tcW w:type="dxa" w:w="3135"/>
          </w:tcPr>
          <w:p>
            <w:r>
              <w:rPr>
                <w:sz w:val="20"/>
              </w:rPr>
              <w:t>Administrador</w:t>
            </w:r>
          </w:p>
        </w:tc>
        <w:tc>
          <w:tcPr>
            <w:tcW w:type="dxa" w:w="3135"/>
          </w:tcPr>
          <w:p>
            <w:r>
              <w:rPr>
                <w:sz w:val="20"/>
              </w:rPr>
              <w:t>Persona designada por la Dirección (auxiliar, coordinador o practicante)</w:t>
            </w:r>
          </w:p>
        </w:tc>
        <w:tc>
          <w:tcPr>
            <w:tcW w:type="dxa" w:w="3135"/>
          </w:tcPr>
          <w:p>
            <w:r>
              <w:rPr>
                <w:sz w:val="20"/>
              </w:rPr>
              <w:t>Publicar cambios, atender los reportes de error recibidos en liic@unimagdalena.edu.co, mantener el historial de versiones y gestionar los permisos de los recursos.</w:t>
            </w:r>
          </w:p>
        </w:tc>
      </w:tr>
      <w:tr>
        <w:tc>
          <w:tcPr>
            <w:tcW w:type="dxa" w:w="3135"/>
          </w:tcPr>
          <w:p>
            <w:r>
              <w:rPr>
                <w:sz w:val="20"/>
              </w:rPr>
              <w:t>Validador técnico</w:t>
            </w:r>
          </w:p>
        </w:tc>
        <w:tc>
          <w:tcPr>
            <w:tcW w:type="dxa" w:w="3135"/>
          </w:tcPr>
          <w:p>
            <w:r>
              <w:rPr>
                <w:sz w:val="20"/>
              </w:rPr>
              <w:t>Docente de la asignatura correspondiente</w:t>
            </w:r>
          </w:p>
        </w:tc>
        <w:tc>
          <w:tcPr>
            <w:tcW w:type="dxa" w:w="3135"/>
          </w:tcPr>
          <w:p>
            <w:r>
              <w:rPr>
                <w:sz w:val="20"/>
              </w:rPr>
              <w:t>Revisar los contenidos de cada ensayo mediante el formato de validación técnica (Anexo 7 del informe) y aprobar su publicación definitiva.</w:t>
            </w:r>
          </w:p>
        </w:tc>
      </w:tr>
      <w:tr>
        <w:tc>
          <w:tcPr>
            <w:tcW w:type="dxa" w:w="3135"/>
          </w:tcPr>
          <w:p>
            <w:r>
              <w:rPr>
                <w:sz w:val="20"/>
              </w:rPr>
              <w:t>Desarrollador</w:t>
            </w:r>
          </w:p>
        </w:tc>
        <w:tc>
          <w:tcPr>
            <w:tcW w:type="dxa" w:w="3135"/>
          </w:tcPr>
          <w:p>
            <w:r>
              <w:rPr>
                <w:sz w:val="20"/>
              </w:rPr>
              <w:t>Practicante o estudiante que amplía la plataforma</w:t>
            </w:r>
          </w:p>
        </w:tc>
        <w:tc>
          <w:tcPr>
            <w:tcW w:type="dxa" w:w="3135"/>
          </w:tcPr>
          <w:p>
            <w:r>
              <w:rPr>
                <w:sz w:val="20"/>
              </w:rPr>
              <w:t>Elaborar los contenidos y el código de nuevos ensayos, prácticas o asignaturas, siguiendo este manual y las plantillas del repositorio.</w:t>
            </w:r>
          </w:p>
        </w:tc>
      </w:tr>
    </w:tbl>
    <w:p>
      <w:pPr>
        <w:spacing w:after="40"/>
      </w:pPr>
    </w:p>
    <w:p>
      <w:pPr>
        <w:spacing w:before="360"/>
      </w:pPr>
      <w:r>
        <w:rPr>
          <w:b/>
          <w:color w:val="C06A10"/>
          <w:sz w:val="26"/>
        </w:rPr>
        <w:t>PARTE A. ADMINISTRACIÓN DE LA PLATAFORMA</w:t>
      </w:r>
    </w:p>
    <w:p>
      <w:pPr>
        <w:pStyle w:val="Heading1"/>
      </w:pPr>
      <w:r>
        <w:t>3. Cómo está construida la plataforma</w:t>
      </w:r>
    </w:p>
    <w:p>
      <w:pPr>
        <w:spacing w:after="120" w:line="276" w:lineRule="auto"/>
        <w:jc w:val="both"/>
      </w:pPr>
      <w:r>
        <w:t>LIIC Aprende es un sitio web estático construido con HTML, CSS y JavaScript, sin bases de datos ni servidores propios. El código se guarda en un repositorio de GitHub y se publica automáticamente mediante GitHub Pages cada vez que se guarda un cambio. El progreso que marca cada estudiante se almacena únicamente en su propio navegador.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Archivo o carpeta</w:t>
            </w:r>
          </w:p>
        </w:tc>
        <w:tc>
          <w:tcPr>
            <w:tcW w:type="dxa" w:w="3135"/>
            <w:shd w:val="clear" w:color="auto" w:fill="1F4E79"/>
          </w:tcPr>
          <w:p>
            <w:r>
              <w:rPr>
                <w:b/>
                <w:color w:val="FFFFFF"/>
                <w:sz w:val="20"/>
              </w:rPr>
              <w:t>Qué contiene</w:t>
            </w:r>
          </w:p>
        </w:tc>
        <w:tc>
          <w:tcPr>
            <w:tcW w:type="dxa" w:w="3135"/>
            <w:shd w:val="clear" w:color="auto" w:fill="1F4E79"/>
          </w:tcPr>
          <w:p>
            <w:r>
              <w:rPr>
                <w:b/>
                <w:color w:val="FFFFFF"/>
                <w:sz w:val="20"/>
              </w:rPr>
              <w:t>Cuándo se modifica</w:t>
            </w:r>
          </w:p>
        </w:tc>
      </w:tr>
      <w:tr>
        <w:tc>
          <w:tcPr>
            <w:tcW w:type="dxa" w:w="3135"/>
          </w:tcPr>
          <w:p>
            <w:r>
              <w:rPr>
                <w:sz w:val="20"/>
              </w:rPr>
              <w:t>index.html</w:t>
            </w:r>
          </w:p>
        </w:tc>
        <w:tc>
          <w:tcPr>
            <w:tcW w:type="dxa" w:w="3135"/>
          </w:tcPr>
          <w:p>
            <w:r>
              <w:rPr>
                <w:sz w:val="20"/>
              </w:rPr>
              <w:t>Página principal: inicio, el LIIC, áreas, asignaturas, galería y contacto.</w:t>
            </w:r>
          </w:p>
        </w:tc>
        <w:tc>
          <w:tcPr>
            <w:tcW w:type="dxa" w:w="3135"/>
          </w:tcPr>
          <w:p>
            <w:r>
              <w:rPr>
                <w:sz w:val="20"/>
              </w:rPr>
              <w:t>Al cambiar textos institucionales, fotos de áreas o galería, o habilitar una asignatura.</w:t>
            </w:r>
          </w:p>
        </w:tc>
      </w:tr>
      <w:tr>
        <w:tc>
          <w:tcPr>
            <w:tcW w:type="dxa" w:w="3135"/>
          </w:tcPr>
          <w:p>
            <w:r>
              <w:rPr>
                <w:sz w:val="20"/>
              </w:rPr>
              <w:t>modulo.html</w:t>
            </w:r>
          </w:p>
        </w:tc>
        <w:tc>
          <w:tcPr>
            <w:tcW w:type="dxa" w:w="3135"/>
          </w:tcPr>
          <w:p>
            <w:r>
              <w:rPr>
                <w:sz w:val="20"/>
              </w:rPr>
              <w:t>Módulo de la asignatura Pavimentos: prácticas y ensayos con sus siete secciones.</w:t>
            </w:r>
          </w:p>
        </w:tc>
        <w:tc>
          <w:tcPr>
            <w:tcW w:type="dxa" w:w="3135"/>
          </w:tcPr>
          <w:p>
            <w:r>
              <w:rPr>
                <w:sz w:val="20"/>
              </w:rPr>
              <w:t>Al corregir o agregar contenido de ensayos de Pavimentos.</w:t>
            </w:r>
          </w:p>
        </w:tc>
      </w:tr>
      <w:tr>
        <w:tc>
          <w:tcPr>
            <w:tcW w:type="dxa" w:w="3135"/>
          </w:tcPr>
          <w:p>
            <w:r>
              <w:rPr>
                <w:sz w:val="20"/>
              </w:rPr>
              <w:t>css/styles.css</w:t>
            </w:r>
          </w:p>
        </w:tc>
        <w:tc>
          <w:tcPr>
            <w:tcW w:type="dxa" w:w="3135"/>
          </w:tcPr>
          <w:p>
            <w:r>
              <w:rPr>
                <w:sz w:val="20"/>
              </w:rPr>
              <w:t>Apariencia de todo el sitio (colores, tamaños, modo oscuro, vista en celular e impresión).</w:t>
            </w:r>
          </w:p>
        </w:tc>
        <w:tc>
          <w:tcPr>
            <w:tcW w:type="dxa" w:w="3135"/>
          </w:tcPr>
          <w:p>
            <w:r>
              <w:rPr>
                <w:sz w:val="20"/>
              </w:rPr>
              <w:t>Rara vez; solo para cambios de diseño.</w:t>
            </w:r>
          </w:p>
        </w:tc>
      </w:tr>
      <w:tr>
        <w:tc>
          <w:tcPr>
            <w:tcW w:type="dxa" w:w="3135"/>
          </w:tcPr>
          <w:p>
            <w:r>
              <w:rPr>
                <w:sz w:val="20"/>
              </w:rPr>
              <w:t>js/app.js</w:t>
            </w:r>
          </w:p>
        </w:tc>
        <w:tc>
          <w:tcPr>
            <w:tcW w:type="dxa" w:w="3135"/>
          </w:tcPr>
          <w:p>
            <w:r>
              <w:rPr>
                <w:sz w:val="20"/>
              </w:rPr>
              <w:t>Funcionamiento: menú, pestañas, buscador, progreso, autoevaluación (objeto PREGUNTAS) y video por capítulos.</w:t>
            </w:r>
          </w:p>
        </w:tc>
        <w:tc>
          <w:tcPr>
            <w:tcW w:type="dxa" w:w="3135"/>
          </w:tcPr>
          <w:p>
            <w:r>
              <w:rPr>
                <w:sz w:val="20"/>
              </w:rPr>
              <w:t>Al agregar o corregir preguntas de autoevaluación.</w:t>
            </w:r>
          </w:p>
        </w:tc>
      </w:tr>
      <w:tr>
        <w:tc>
          <w:tcPr>
            <w:tcW w:type="dxa" w:w="3135"/>
          </w:tcPr>
          <w:p>
            <w:r>
              <w:rPr>
                <w:sz w:val="20"/>
              </w:rPr>
              <w:t>assets/</w:t>
            </w:r>
          </w:p>
        </w:tc>
        <w:tc>
          <w:tcPr>
            <w:tcW w:type="dxa" w:w="3135"/>
          </w:tcPr>
          <w:p>
            <w:r>
              <w:rPr>
                <w:sz w:val="20"/>
              </w:rPr>
              <w:t>Imágenes del sitio: areas/, galeria/, logo y favicon.</w:t>
            </w:r>
          </w:p>
        </w:tc>
        <w:tc>
          <w:tcPr>
            <w:tcW w:type="dxa" w:w="3135"/>
          </w:tcPr>
          <w:p>
            <w:r>
              <w:rPr>
                <w:sz w:val="20"/>
              </w:rPr>
              <w:t>Al cambiar o agregar fotografías.</w:t>
            </w:r>
          </w:p>
        </w:tc>
      </w:tr>
      <w:tr>
        <w:tc>
          <w:tcPr>
            <w:tcW w:type="dxa" w:w="3135"/>
          </w:tcPr>
          <w:p>
            <w:r>
              <w:rPr>
                <w:sz w:val="20"/>
              </w:rPr>
              <w:t>plantillas/</w:t>
            </w:r>
          </w:p>
        </w:tc>
        <w:tc>
          <w:tcPr>
            <w:tcW w:type="dxa" w:w="3135"/>
          </w:tcPr>
          <w:p>
            <w:r>
              <w:rPr>
                <w:sz w:val="20"/>
              </w:rPr>
              <w:t>Bloques listos para crear un ensayo nuevo y sus preguntas.</w:t>
            </w:r>
          </w:p>
        </w:tc>
        <w:tc>
          <w:tcPr>
            <w:tcW w:type="dxa" w:w="3135"/>
          </w:tcPr>
          <w:p>
            <w:r>
              <w:rPr>
                <w:sz w:val="20"/>
              </w:rPr>
              <w:t>No se modifica; se copia.</w:t>
            </w:r>
          </w:p>
        </w:tc>
      </w:tr>
      <w:tr>
        <w:tc>
          <w:tcPr>
            <w:tcW w:type="dxa" w:w="3135"/>
          </w:tcPr>
          <w:p>
            <w:r>
              <w:rPr>
                <w:sz w:val="20"/>
              </w:rPr>
              <w:t>README.md</w:t>
            </w:r>
          </w:p>
        </w:tc>
        <w:tc>
          <w:tcPr>
            <w:tcW w:type="dxa" w:w="3135"/>
          </w:tcPr>
          <w:p>
            <w:r>
              <w:rPr>
                <w:sz w:val="20"/>
              </w:rPr>
              <w:t>Resumen técnico del proyecto e historial de versiones.</w:t>
            </w:r>
          </w:p>
        </w:tc>
        <w:tc>
          <w:tcPr>
            <w:tcW w:type="dxa" w:w="3135"/>
          </w:tcPr>
          <w:p>
            <w:r>
              <w:rPr>
                <w:sz w:val="20"/>
              </w:rPr>
              <w:t>En cada nueva versión.</w:t>
            </w:r>
          </w:p>
        </w:tc>
      </w:tr>
    </w:tbl>
    <w:p>
      <w:pPr>
        <w:spacing w:after="40"/>
      </w:pPr>
    </w:p>
    <w:p>
      <w:pPr>
        <w:pStyle w:val="Heading1"/>
      </w:pPr>
      <w:r>
        <w:t>4. Acceso y continuidad del repositorio</w:t>
      </w:r>
    </w:p>
    <w:p>
      <w:pPr>
        <w:spacing w:after="120" w:line="276" w:lineRule="auto"/>
        <w:jc w:val="both"/>
      </w:pPr>
      <w:r>
        <w:t>En la versión 1.0, el repositorio se encuentra en la cuenta de GitHub del practicante que desarrolló la Fase I. Para que el LIIC conserve el control de la plataforma, se recomienda crear una cuenta de GitHub institucional del laboratorio (por ejemplo, con el correo liic@unimagdalena.edu.co) y aplicar una de las siguientes opciones: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Opción</w:t>
            </w:r>
          </w:p>
        </w:tc>
        <w:tc>
          <w:tcPr>
            <w:tcW w:type="dxa" w:w="3135"/>
            <w:shd w:val="clear" w:color="auto" w:fill="1F4E79"/>
          </w:tcPr>
          <w:p>
            <w:r>
              <w:rPr>
                <w:b/>
                <w:color w:val="FFFFFF"/>
                <w:sz w:val="20"/>
              </w:rPr>
              <w:t>Cómo se hace</w:t>
            </w:r>
          </w:p>
        </w:tc>
        <w:tc>
          <w:tcPr>
            <w:tcW w:type="dxa" w:w="3135"/>
            <w:shd w:val="clear" w:color="auto" w:fill="1F4E79"/>
          </w:tcPr>
          <w:p>
            <w:r>
              <w:rPr>
                <w:b/>
                <w:color w:val="FFFFFF"/>
                <w:sz w:val="20"/>
              </w:rPr>
              <w:t>Efecto</w:t>
            </w:r>
          </w:p>
        </w:tc>
      </w:tr>
      <w:tr>
        <w:tc>
          <w:tcPr>
            <w:tcW w:type="dxa" w:w="3135"/>
          </w:tcPr>
          <w:p>
            <w:r>
              <w:rPr>
                <w:sz w:val="20"/>
              </w:rPr>
              <w:t>A. Agregar colaborador (recomendada a corto plazo)</w:t>
            </w:r>
          </w:p>
        </w:tc>
        <w:tc>
          <w:tcPr>
            <w:tcW w:type="dxa" w:w="3135"/>
          </w:tcPr>
          <w:p>
            <w:r>
              <w:rPr>
                <w:sz w:val="20"/>
              </w:rPr>
              <w:t>En el repositorio: Settings → Collaborators → Add people → cuenta del LIIC. La cuenta invitada debe aceptar la invitación desde su correo.</w:t>
            </w:r>
          </w:p>
        </w:tc>
        <w:tc>
          <w:tcPr>
            <w:tcW w:type="dxa" w:w="3135"/>
          </w:tcPr>
          <w:p>
            <w:r>
              <w:rPr>
                <w:sz w:val="20"/>
              </w:rPr>
              <w:t>El LIIC puede editar y publicar contenidos. El enlace de la plataforma no cambia, por lo que el código QR y los enlaces ya compartidos siguen funcionando.</w:t>
            </w:r>
          </w:p>
        </w:tc>
      </w:tr>
      <w:tr>
        <w:tc>
          <w:tcPr>
            <w:tcW w:type="dxa" w:w="3135"/>
          </w:tcPr>
          <w:p>
            <w:r>
              <w:rPr>
                <w:sz w:val="20"/>
              </w:rPr>
              <w:t>B. Transferir el repositorio</w:t>
            </w:r>
          </w:p>
        </w:tc>
        <w:tc>
          <w:tcPr>
            <w:tcW w:type="dxa" w:w="3135"/>
          </w:tcPr>
          <w:p>
            <w:r>
              <w:rPr>
                <w:sz w:val="20"/>
              </w:rPr>
              <w:t>Settings → General → Danger Zone → Transfer ownership → cuenta del LIIC.</w:t>
            </w:r>
          </w:p>
        </w:tc>
        <w:tc>
          <w:tcPr>
            <w:tcW w:type="dxa" w:w="3135"/>
          </w:tcPr>
          <w:p>
            <w:r>
              <w:rPr>
                <w:sz w:val="20"/>
              </w:rPr>
              <w:t>El LIIC queda como propietario. La dirección publicada cambia a https://[cuenta-del-LIIC].github.io/liic-aprende/, por lo que deben actualizarse el QR y los enlaces difundidos.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AF1FB"/>
          </w:tcPr>
          <w:p>
            <w:pPr>
              <w:jc w:val="both"/>
            </w:pPr>
            <w:r>
              <w:rPr>
                <w:b/>
              </w:rPr>
              <w:t xml:space="preserve">Nota: </w:t>
            </w:r>
            <w:r>
              <w:t>Se recomienda aplicar la opción A antes de que finalice la práctica y reservar la opción B para cuando la plataforma se migre a un servidor o dominio institucional de la Universidad, como se propone en el trabajo futuro del informe.</w:t>
            </w:r>
          </w:p>
        </w:tc>
      </w:tr>
    </w:tbl>
    <w:p>
      <w:pPr>
        <w:spacing w:after="40"/>
      </w:pPr>
    </w:p>
    <w:p>
      <w:pPr>
        <w:pStyle w:val="Heading1"/>
      </w:pPr>
      <w:r>
        <w:t>5. Cómo editar y publicar un cambio</w:t>
      </w:r>
    </w:p>
    <w:p>
      <w:pPr>
        <w:tabs>
          <w:tab w:pos="510" w:val="left"/>
        </w:tabs>
        <w:spacing w:after="80"/>
        <w:ind w:left="510" w:hanging="340"/>
        <w:jc w:val="both"/>
      </w:pPr>
      <w:r>
        <w:rPr>
          <w:b/>
        </w:rPr>
        <w:t>1.</w:t>
        <w:tab/>
      </w:r>
      <w:r>
        <w:t>Ingrese a GitHub con la cuenta autorizada y abra el repositorio liic-aprende.</w:t>
      </w:r>
    </w:p>
    <w:p>
      <w:pPr>
        <w:tabs>
          <w:tab w:pos="510" w:val="left"/>
        </w:tabs>
        <w:spacing w:after="80"/>
        <w:ind w:left="510" w:hanging="340"/>
        <w:jc w:val="both"/>
      </w:pPr>
      <w:r>
        <w:rPr>
          <w:b/>
        </w:rPr>
        <w:t>2.</w:t>
        <w:tab/>
      </w:r>
      <w:r>
        <w:t>Ubique el archivo a modificar (por ejemplo, modulo.html) y pulse el ícono de lápiz (Edit this file).</w:t>
      </w:r>
    </w:p>
    <w:p>
      <w:pPr>
        <w:tabs>
          <w:tab w:pos="510" w:val="left"/>
        </w:tabs>
        <w:spacing w:after="80"/>
        <w:ind w:left="510" w:hanging="340"/>
        <w:jc w:val="both"/>
      </w:pPr>
      <w:r>
        <w:rPr>
          <w:b/>
        </w:rPr>
        <w:t>3.</w:t>
        <w:tab/>
      </w:r>
      <w:r>
        <w:t>Use Ctrl + F para encontrar el texto que va a cambiar y edítelo sin borrar las etiquetas que lo rodean (lo que está entre los signos &lt; y &gt;).</w:t>
      </w:r>
    </w:p>
    <w:p>
      <w:pPr>
        <w:tabs>
          <w:tab w:pos="510" w:val="left"/>
        </w:tabs>
        <w:spacing w:after="80"/>
        <w:ind w:left="510" w:hanging="340"/>
        <w:jc w:val="both"/>
      </w:pPr>
      <w:r>
        <w:rPr>
          <w:b/>
        </w:rPr>
        <w:t>4.</w:t>
        <w:tab/>
      </w:r>
      <w:r>
        <w:t>Pulse Commit changes y escriba un mensaje que describa el cambio, por ejemplo: «Corrige temperatura de compactación en la guía Marshall».</w:t>
      </w:r>
    </w:p>
    <w:p>
      <w:pPr>
        <w:tabs>
          <w:tab w:pos="510" w:val="left"/>
        </w:tabs>
        <w:spacing w:after="80"/>
        <w:ind w:left="510" w:hanging="340"/>
        <w:jc w:val="both"/>
      </w:pPr>
      <w:r>
        <w:rPr>
          <w:b/>
        </w:rPr>
        <w:t>5.</w:t>
        <w:tab/>
      </w:r>
      <w:r>
        <w:t>Espere entre uno y dos minutos y abra la plataforma con Ctrl + F5 para verificar el cambio, tanto en computador como en celular.</w:t>
      </w:r>
    </w:p>
    <w:tbl>
      <w:tblPr>
        <w:tblStyle w:val="TableGrid"/>
        <w:tblW w:type="auto" w:w="0"/>
        <w:tblLook w:firstColumn="1" w:firstRow="1" w:lastColumn="0" w:lastRow="0" w:noHBand="0" w:noVBand="1" w:val="04A0"/>
      </w:tblPr>
      <w:tblGrid>
        <w:gridCol w:w="9406"/>
      </w:tblGrid>
      <w:tr>
        <w:tc>
          <w:tcPr>
            <w:tcW w:type="dxa" w:w="9406"/>
            <w:shd w:val="clear" w:color="auto" w:fill="EAF1FB"/>
          </w:tcPr>
          <w:p>
            <w:pPr>
              <w:jc w:val="both"/>
            </w:pPr>
            <w:r>
              <w:rPr>
                <w:b/>
              </w:rPr>
              <w:t xml:space="preserve">Nota: </w:t>
            </w:r>
            <w:r>
              <w:t>Si se modifica css/styles.css o js/app.js, aumente en uno el número de versión que aparece al final de su enlace en index.html y modulo.html (por ejemplo, styles.css?v=8 pasa a styles.css?v=9). Así los navegadores descargan la versión nueva y no usan una copia guardada.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FFF6E8"/>
          </w:tcPr>
          <w:p>
            <w:pPr>
              <w:jc w:val="both"/>
            </w:pPr>
            <w:r>
              <w:rPr>
                <w:b/>
              </w:rPr>
              <w:t xml:space="preserve">Importante: </w:t>
            </w:r>
            <w:r>
              <w:t>Cada archivo debe subirse dentro de su carpeta. Si app.js o styles.css quedan sueltos en la raíz del repositorio, la página sigue usando la versión anterior y botones como los capítulos del video o la autoevaluación dejan de funcionar. Para subir un archivo a una carpeta, entre primero a esa carpeta y luego use Add file → Upload files.</w:t>
            </w:r>
          </w:p>
        </w:tc>
      </w:tr>
    </w:tbl>
    <w:p>
      <w:pPr>
        <w:spacing w:after="40"/>
      </w:pPr>
    </w:p>
    <w:p>
      <w:pPr>
        <w:pStyle w:val="Heading1"/>
      </w:pPr>
      <w:r>
        <w:t>6. Tareas frecuentes de administración</w:t>
      </w:r>
    </w:p>
    <w:p>
      <w:pPr>
        <w:pStyle w:val="Heading2"/>
      </w:pPr>
      <w:r>
        <w:t>6.1 Corregir el contenido de un ensayo</w:t>
      </w:r>
    </w:p>
    <w:p>
      <w:pPr>
        <w:spacing w:after="120" w:line="276" w:lineRule="auto"/>
        <w:jc w:val="both"/>
      </w:pPr>
      <w:r>
        <w:t>Todo el contenido de los ensayos de Pavimentos está en modulo.html. Cada ensayo es un bloque &lt;details class="ensayoCard" data-id="…"&gt; y cada una de sus secciones es un bloque &lt;div class="tabPanel" data-panel="…"&gt;, donde el valor de data-panel indica la sección: ficha, guia, video, errores, interpretacion, normas o autoeval. Localice el texto con Ctrl + F, corríjalo y publique el cambio según el numeral 5.</w:t>
      </w:r>
    </w:p>
    <w:p>
      <w:pPr>
        <w:pStyle w:val="Heading2"/>
      </w:pPr>
      <w:r>
        <w:t>6.2 Cambiar o agregar fotografías</w:t>
      </w:r>
    </w:p>
    <w:p>
      <w:pPr>
        <w:pStyle w:val="ListBullet"/>
        <w:spacing w:after="80"/>
        <w:jc w:val="both"/>
      </w:pPr>
      <w:r>
        <w:t>Prepare la imagen en formato .jpg, con un ancho máximo cercano a 1600 píxeles y un peso inferior a 500 KB.</w:t>
      </w:r>
    </w:p>
    <w:p>
      <w:pPr>
        <w:pStyle w:val="ListBullet"/>
        <w:spacing w:after="80"/>
        <w:jc w:val="both"/>
      </w:pPr>
      <w:r>
        <w:t>Para reemplazar una foto existente, súbala a la misma carpeta (assets/galeria o assets/areas) con exactamente el mismo nombre de archivo.</w:t>
      </w:r>
    </w:p>
    <w:p>
      <w:pPr>
        <w:pStyle w:val="ListBullet"/>
        <w:spacing w:after="80"/>
        <w:jc w:val="both"/>
      </w:pPr>
      <w:r>
        <w:t>Para una foto nueva, súbala a la carpeta y agregue en index.html una línea &lt;img src="assets/galeria/7.jpg" alt="Descripción de la foto"&gt; junto a las demás.</w:t>
      </w:r>
    </w:p>
    <w:p>
      <w:pPr>
        <w:pStyle w:val="ListBullet"/>
        <w:spacing w:after="80"/>
        <w:jc w:val="both"/>
      </w:pPr>
      <w:r>
        <w:t>Use solo fotografías de autoría del LIIC o con autorización, y difumine los rostros de menores de edad.</w:t>
      </w:r>
    </w:p>
    <w:p>
      <w:pPr>
        <w:pStyle w:val="Heading2"/>
      </w:pPr>
      <w:r>
        <w:t>6.3 Corregir o agregar preguntas de autoevaluación</w:t>
      </w:r>
    </w:p>
    <w:p>
      <w:pPr>
        <w:spacing w:after="120" w:line="276" w:lineRule="auto"/>
        <w:jc w:val="both"/>
      </w:pPr>
      <w:r>
        <w:t>Las preguntas no están en modulo.html, sino en js/app.js, dentro del objeto PREGUNTAS. Cada ensayo tiene una lista identificada con su data-id, y cada pregunta tiene cuatro datos: p (enunciado), o (opciones), r (posición de la opción correcta, contando desde 0) y e (explicación que se muestra al calificar). Use la plantilla plantillas/preguntas-plantilla.js. Después de editar app.js, aumente su número de versión (?v=) como se indica en el numeral 5.</w:t>
      </w:r>
    </w:p>
    <w:p>
      <w:pPr>
        <w:pStyle w:val="Heading2"/>
      </w:pPr>
      <w:r>
        <w:t>6.4 Atender los reportes de error</w:t>
      </w:r>
    </w:p>
    <w:p>
      <w:pPr>
        <w:spacing w:after="120" w:line="276" w:lineRule="auto"/>
        <w:jc w:val="both"/>
      </w:pPr>
      <w:r>
        <w:t>Cada ensayo muestra un aviso con el correo liic@unimagdalena.edu.co para que estudiantes y docentes reporten errores o sugerencias. El administrador debe revisar los reportes, confirmar con el docente de la asignatura los que sean de contenido técnico, aplicar la corrección y registrarla en el historial de versiones (numeral 7).</w:t>
      </w:r>
    </w:p>
    <w:p>
      <w:pPr>
        <w:pStyle w:val="Heading2"/>
      </w:pPr>
      <w:r>
        <w:t>6.5 Actualizar el aviso de validación</w:t>
      </w:r>
    </w:p>
    <w:p>
      <w:pPr>
        <w:spacing w:after="120" w:line="276" w:lineRule="auto"/>
        <w:jc w:val="both"/>
      </w:pPr>
      <w:r>
        <w:t>Mientras el docente no haya validado el contenido de un ensayo, este debe conservar el aviso naranja «Contenido en proceso de validación». Cuando el docente diligencie y firme el formato de validación técnica (Anexo 7 del informe) e incorpore sus ajustes, el administrador puede retirar el bloque &lt;div class="avisoValidacion"&gt; del ensayo o cambiar su texto para indicar la versión y la fecha de validación.</w:t>
      </w:r>
    </w:p>
    <w:p>
      <w:pPr>
        <w:pStyle w:val="Heading1"/>
      </w:pPr>
      <w:r>
        <w:t>7. Control de versiones</w:t>
      </w:r>
    </w:p>
    <w:p>
      <w:pPr>
        <w:spacing w:after="120" w:line="276" w:lineRule="auto"/>
        <w:jc w:val="both"/>
      </w:pPr>
      <w:r>
        <w:t>GitHub guarda automáticamente cada cambio con su fecha, su autor y su mensaje (pestaña Commits del repositorio), lo que permite consultar o revertir cualquier modificación. Adicionalmente, cada vez que se publique un conjunto de cambios relevantes, se debe registrar una nueva versión en la tabla «Historial de versiones» del archivo README.md, siguiendo esta convención: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Tipo de cambio</w:t>
            </w:r>
          </w:p>
        </w:tc>
        <w:tc>
          <w:tcPr>
            <w:tcW w:type="dxa" w:w="3135"/>
            <w:shd w:val="clear" w:color="auto" w:fill="1F4E79"/>
          </w:tcPr>
          <w:p>
            <w:r>
              <w:rPr>
                <w:b/>
                <w:color w:val="FFFFFF"/>
                <w:sz w:val="20"/>
              </w:rPr>
              <w:t>Ejemplo</w:t>
            </w:r>
          </w:p>
        </w:tc>
        <w:tc>
          <w:tcPr>
            <w:tcW w:type="dxa" w:w="3135"/>
            <w:shd w:val="clear" w:color="auto" w:fill="1F4E79"/>
          </w:tcPr>
          <w:p>
            <w:r>
              <w:rPr>
                <w:b/>
                <w:color w:val="FFFFFF"/>
                <w:sz w:val="20"/>
              </w:rPr>
              <w:t>Nueva versión</w:t>
            </w:r>
          </w:p>
        </w:tc>
      </w:tr>
      <w:tr>
        <w:tc>
          <w:tcPr>
            <w:tcW w:type="dxa" w:w="3135"/>
          </w:tcPr>
          <w:p>
            <w:r>
              <w:rPr>
                <w:sz w:val="20"/>
              </w:rPr>
              <w:t>Corrección menor</w:t>
            </w:r>
          </w:p>
        </w:tc>
        <w:tc>
          <w:tcPr>
            <w:tcW w:type="dxa" w:w="3135"/>
          </w:tcPr>
          <w:p>
            <w:r>
              <w:rPr>
                <w:sz w:val="20"/>
              </w:rPr>
              <w:t>Errores de texto, una foto, una pregunta.</w:t>
            </w:r>
          </w:p>
        </w:tc>
        <w:tc>
          <w:tcPr>
            <w:tcW w:type="dxa" w:w="3135"/>
          </w:tcPr>
          <w:p>
            <w:r>
              <w:rPr>
                <w:sz w:val="20"/>
              </w:rPr>
              <w:t>1.0 → 1.1</w:t>
            </w:r>
          </w:p>
        </w:tc>
      </w:tr>
      <w:tr>
        <w:tc>
          <w:tcPr>
            <w:tcW w:type="dxa" w:w="3135"/>
          </w:tcPr>
          <w:p>
            <w:r>
              <w:rPr>
                <w:sz w:val="20"/>
              </w:rPr>
              <w:t>Validación docente aplicada</w:t>
            </w:r>
          </w:p>
        </w:tc>
        <w:tc>
          <w:tcPr>
            <w:tcW w:type="dxa" w:w="3135"/>
          </w:tcPr>
          <w:p>
            <w:r>
              <w:rPr>
                <w:sz w:val="20"/>
              </w:rPr>
              <w:t>Ajustes del formato de validación incorporados.</w:t>
            </w:r>
          </w:p>
        </w:tc>
        <w:tc>
          <w:tcPr>
            <w:tcW w:type="dxa" w:w="3135"/>
          </w:tcPr>
          <w:p>
            <w:r>
              <w:rPr>
                <w:sz w:val="20"/>
              </w:rPr>
              <w:t>1.1 → 1.2</w:t>
            </w:r>
          </w:p>
        </w:tc>
      </w:tr>
      <w:tr>
        <w:tc>
          <w:tcPr>
            <w:tcW w:type="dxa" w:w="3135"/>
          </w:tcPr>
          <w:p>
            <w:r>
              <w:rPr>
                <w:sz w:val="20"/>
              </w:rPr>
              <w:t>Nuevo ensayo, práctica o asignatura</w:t>
            </w:r>
          </w:p>
        </w:tc>
        <w:tc>
          <w:tcPr>
            <w:tcW w:type="dxa" w:w="3135"/>
          </w:tcPr>
          <w:p>
            <w:r>
              <w:rPr>
                <w:sz w:val="20"/>
              </w:rPr>
              <w:t>Módulo de Geotecnia.</w:t>
            </w:r>
          </w:p>
        </w:tc>
        <w:tc>
          <w:tcPr>
            <w:tcW w:type="dxa" w:w="3135"/>
          </w:tcPr>
          <w:p>
            <w:r>
              <w:rPr>
                <w:sz w:val="20"/>
              </w:rPr>
              <w:t>1.x → 2.0</w:t>
            </w:r>
          </w:p>
        </w:tc>
      </w:tr>
    </w:tbl>
    <w:p>
      <w:pPr>
        <w:spacing w:after="40"/>
      </w:pPr>
    </w:p>
    <w:p>
      <w:pPr>
        <w:pStyle w:val="Heading1"/>
      </w:pPr>
      <w:r>
        <w:t>8. Permisos y autorizaciones</w:t>
      </w:r>
    </w:p>
    <w:p>
      <w:pPr>
        <w:pStyle w:val="ListBullet"/>
        <w:spacing w:after="80"/>
        <w:jc w:val="both"/>
      </w:pPr>
      <w:r>
        <w:t>Videos de terceros: solo pueden incrustarse con autorización escrita de su titular. El video de la Práctica 2 cuenta con autorización del Centro Innova limitada a la Fase I de LIIC Aprende (Anexo 6 del informe), con las condiciones de usar el reproductor oficial de Vimeo sin modificar el video, mostrar de forma permanente el crédito «Fuente: Centro Innova – Universidad del Magdalena, plataforma Bloque 10» con el enlace al original, y hacer un uso exclusivamente académico.</w:t>
      </w:r>
    </w:p>
    <w:p>
      <w:pPr>
        <w:pStyle w:val="ListBullet"/>
        <w:spacing w:after="80"/>
        <w:jc w:val="both"/>
      </w:pPr>
      <w:r>
        <w:t>Cualquier otro video de Bloque 10 —por ejemplo, de las Prácticas 1 y 3— o un cambio de responsable o de fase de la plataforma requiere solicitar una nueva autorización al Centro Innova.</w:t>
      </w:r>
    </w:p>
    <w:p>
      <w:pPr>
        <w:pStyle w:val="ListBullet"/>
        <w:spacing w:after="80"/>
        <w:jc w:val="both"/>
      </w:pPr>
      <w:r>
        <w:t>Fotografías: usar únicamente imágenes propias del LIIC o autorizadas, y difuminar los rostros de menores de edad.</w:t>
      </w:r>
    </w:p>
    <w:p>
      <w:pPr>
        <w:pStyle w:val="ListBullet"/>
        <w:spacing w:after="80"/>
        <w:jc w:val="both"/>
      </w:pPr>
      <w:r>
        <w:t>Documentos y normas: citar la fuente (por ejemplo, INVIAS o el instructivo del LIIC) y no publicar documentos completos protegidos; la plataforma resume y referencia.</w:t>
      </w:r>
    </w:p>
    <w:p>
      <w:pPr>
        <w:pStyle w:val="ListBullet"/>
        <w:spacing w:after="80"/>
        <w:jc w:val="both"/>
      </w:pPr>
      <w:r>
        <w:t>Acceso: se recomienda difundir el enlace de la plataforma únicamente entre estudiantes y docentes, conforme a la recomendación del Centro Innova.</w:t>
      </w:r>
    </w:p>
    <w:p>
      <w:pPr>
        <w:spacing w:before="360"/>
      </w:pPr>
      <w:r>
        <w:rPr>
          <w:b/>
          <w:color w:val="C06A10"/>
          <w:sz w:val="26"/>
        </w:rPr>
        <w:t>PARTE B. AMPLIACIÓN A NUEVOS ENSAYOS Y ASIGNATURAS</w:t>
      </w:r>
    </w:p>
    <w:p>
      <w:pPr>
        <w:pStyle w:val="Heading1"/>
      </w:pPr>
      <w:r>
        <w:t>9. Metodología recomendada para nuevos módulos</w:t>
      </w:r>
    </w:p>
    <w:p>
      <w:pPr>
        <w:spacing w:after="120" w:line="276" w:lineRule="auto"/>
        <w:jc w:val="both"/>
      </w:pPr>
      <w:r>
        <w:t>Para mantener la coherencia de la plataforma, se recomienda que cada ampliación siga la misma metodología aplicada en la Fase I:</w:t>
      </w:r>
    </w:p>
    <w:p>
      <w:pPr>
        <w:tabs>
          <w:tab w:pos="510" w:val="left"/>
        </w:tabs>
        <w:spacing w:after="80"/>
        <w:ind w:left="510" w:hanging="340"/>
        <w:jc w:val="both"/>
      </w:pPr>
      <w:r>
        <w:rPr>
          <w:b/>
        </w:rPr>
        <w:t>1.</w:t>
        <w:tab/>
      </w:r>
      <w:r>
        <w:t>Consulta docente: aplicar al docente de la asignatura un instrumento similar al del Anexo 2 del informe para identificar la práctica y los ensayos con mayor dificultad de aprendizaje.</w:t>
      </w:r>
    </w:p>
    <w:p>
      <w:pPr>
        <w:tabs>
          <w:tab w:pos="510" w:val="left"/>
        </w:tabs>
        <w:spacing w:after="80"/>
        <w:ind w:left="510" w:hanging="340"/>
        <w:jc w:val="both"/>
      </w:pPr>
      <w:r>
        <w:rPr>
          <w:b/>
        </w:rPr>
        <w:t>2.</w:t>
        <w:tab/>
      </w:r>
      <w:r>
        <w:t>Priorización: seleccionar uno a tres ensayos por fase, con el aval de la Dirección del LIIC.</w:t>
      </w:r>
    </w:p>
    <w:p>
      <w:pPr>
        <w:tabs>
          <w:tab w:pos="510" w:val="left"/>
        </w:tabs>
        <w:spacing w:after="80"/>
        <w:ind w:left="510" w:hanging="340"/>
        <w:jc w:val="both"/>
      </w:pPr>
      <w:r>
        <w:rPr>
          <w:b/>
        </w:rPr>
        <w:t>3.</w:t>
        <w:tab/>
      </w:r>
      <w:r>
        <w:t>Elaboración de contenidos: desarrollar las siete secciones de cada ensayo a partir de la norma INV E correspondiente, los instructivos del LIIC y la forma en que se ejecuta la práctica en el laboratorio.</w:t>
      </w:r>
    </w:p>
    <w:p>
      <w:pPr>
        <w:tabs>
          <w:tab w:pos="510" w:val="left"/>
        </w:tabs>
        <w:spacing w:after="80"/>
        <w:ind w:left="510" w:hanging="340"/>
        <w:jc w:val="both"/>
      </w:pPr>
      <w:r>
        <w:rPr>
          <w:b/>
        </w:rPr>
        <w:t>4.</w:t>
        <w:tab/>
      </w:r>
      <w:r>
        <w:t>Recursos audiovisuales: verificar si existe material autorizado (por ejemplo, en Bloque 10) y gestionar la autorización antes de incrustarlo, o grabar material propio del LIIC.</w:t>
      </w:r>
    </w:p>
    <w:p>
      <w:pPr>
        <w:tabs>
          <w:tab w:pos="510" w:val="left"/>
        </w:tabs>
        <w:spacing w:after="80"/>
        <w:ind w:left="510" w:hanging="340"/>
        <w:jc w:val="both"/>
      </w:pPr>
      <w:r>
        <w:rPr>
          <w:b/>
        </w:rPr>
        <w:t>5.</w:t>
        <w:tab/>
      </w:r>
      <w:r>
        <w:t>Validación técnica: enviar el contenido al docente con el formato de validación y mantener el aviso de validación hasta su aprobación.</w:t>
      </w:r>
    </w:p>
    <w:p>
      <w:pPr>
        <w:tabs>
          <w:tab w:pos="510" w:val="left"/>
        </w:tabs>
        <w:spacing w:after="80"/>
        <w:ind w:left="510" w:hanging="340"/>
        <w:jc w:val="both"/>
      </w:pPr>
      <w:r>
        <w:rPr>
          <w:b/>
        </w:rPr>
        <w:t>6.</w:t>
        <w:tab/>
      </w:r>
      <w:r>
        <w:t>Publicación: incorporar los ensayos en la plataforma, verificar su funcionamiento en computador y celular, y registrar la nueva versión.</w:t>
      </w:r>
    </w:p>
    <w:p>
      <w:pPr>
        <w:pStyle w:val="Heading1"/>
      </w:pPr>
      <w:r>
        <w:t>10. Agregar un ensayo a una práctica existente</w:t>
      </w:r>
    </w:p>
    <w:p>
      <w:pPr>
        <w:tabs>
          <w:tab w:pos="510" w:val="left"/>
        </w:tabs>
        <w:spacing w:after="80"/>
        <w:ind w:left="510" w:hanging="340"/>
        <w:jc w:val="both"/>
      </w:pPr>
      <w:r>
        <w:rPr>
          <w:b/>
        </w:rPr>
        <w:t>1.</w:t>
        <w:tab/>
      </w:r>
      <w:r>
        <w:t>Abra plantillas/ensayo-plantilla.html y copie todo el bloque &lt;details class="ensayoCard"&gt; … &lt;/details&gt;.</w:t>
      </w:r>
    </w:p>
    <w:p>
      <w:pPr>
        <w:tabs>
          <w:tab w:pos="510" w:val="left"/>
        </w:tabs>
        <w:spacing w:after="80"/>
        <w:ind w:left="510" w:hanging="340"/>
        <w:jc w:val="both"/>
      </w:pPr>
      <w:r>
        <w:rPr>
          <w:b/>
        </w:rPr>
        <w:t>2.</w:t>
        <w:tab/>
      </w:r>
      <w:r>
        <w:t>En modulo.html, péguelo dentro de &lt;section class="ensayos"&gt;, después del último ensayo disponible y antes de los ensayos bloqueados (🔒).</w:t>
      </w:r>
    </w:p>
    <w:p>
      <w:pPr>
        <w:tabs>
          <w:tab w:pos="510" w:val="left"/>
        </w:tabs>
        <w:spacing w:after="80"/>
        <w:ind w:left="510" w:hanging="340"/>
        <w:jc w:val="both"/>
      </w:pPr>
      <w:r>
        <w:rPr>
          <w:b/>
        </w:rPr>
        <w:t>3.</w:t>
        <w:tab/>
      </w:r>
      <w:r>
        <w:t>Reemplace todo el texto entre corchetes. Asigne un data-id único, en minúsculas, sin tildes ni espacios (por ejemplo, gravedad-bulk).</w:t>
      </w:r>
    </w:p>
    <w:p>
      <w:pPr>
        <w:tabs>
          <w:tab w:pos="510" w:val="left"/>
        </w:tabs>
        <w:spacing w:after="80"/>
        <w:ind w:left="510" w:hanging="340"/>
        <w:jc w:val="both"/>
      </w:pPr>
      <w:r>
        <w:rPr>
          <w:b/>
        </w:rPr>
        <w:t>4.</w:t>
        <w:tab/>
      </w:r>
      <w:r>
        <w:t>Si el ensayo figuraba como bloqueado (bloque &lt;div class="ensayoCard bloqueada"&gt;), elimine ese bloque.</w:t>
      </w:r>
    </w:p>
    <w:p>
      <w:pPr>
        <w:tabs>
          <w:tab w:pos="510" w:val="left"/>
        </w:tabs>
        <w:spacing w:after="80"/>
        <w:ind w:left="510" w:hanging="340"/>
        <w:jc w:val="both"/>
      </w:pPr>
      <w:r>
        <w:rPr>
          <w:b/>
        </w:rPr>
        <w:t>5.</w:t>
        <w:tab/>
      </w:r>
      <w:r>
        <w:t>Si el ensayo no tiene video autorizado, elimine el botón de la pestaña Video y su panel completo.</w:t>
      </w:r>
    </w:p>
    <w:p>
      <w:pPr>
        <w:tabs>
          <w:tab w:pos="510" w:val="left"/>
        </w:tabs>
        <w:spacing w:after="80"/>
        <w:ind w:left="510" w:hanging="340"/>
        <w:jc w:val="both"/>
      </w:pPr>
      <w:r>
        <w:rPr>
          <w:b/>
        </w:rPr>
        <w:t>6.</w:t>
        <w:tab/>
      </w:r>
      <w:r>
        <w:t>Agregue sus preguntas en js/app.js, dentro de PREGUNTAS, con la misma clave del data-id (plantilla preguntas-plantilla.js).</w:t>
      </w:r>
    </w:p>
    <w:p>
      <w:pPr>
        <w:tabs>
          <w:tab w:pos="510" w:val="left"/>
        </w:tabs>
        <w:spacing w:after="80"/>
        <w:ind w:left="510" w:hanging="340"/>
        <w:jc w:val="both"/>
      </w:pPr>
      <w:r>
        <w:rPr>
          <w:b/>
        </w:rPr>
        <w:t>7.</w:t>
        <w:tab/>
      </w:r>
      <w:r>
        <w:t>Publique y verifique: el buscador y la barra de progreso reconocen el nuevo ensayo automáticamente.</w:t>
      </w:r>
    </w:p>
    <w:p>
      <w:pPr>
        <w:pStyle w:val="Heading1"/>
      </w:pPr>
      <w:r>
        <w:t>11. Configurar el video de un ensayo por capítulos</w:t>
      </w:r>
    </w:p>
    <w:p>
      <w:pPr>
        <w:spacing w:after="120" w:line="276" w:lineRule="auto"/>
        <w:jc w:val="both"/>
      </w:pPr>
      <w:r>
        <w:t>Cuando un mismo video contiene varios ensayos, la plataforma puede iniciar el video en el minuto del ensayo, mostrar accesos directos a sus capítulos y pausarlo al terminar el fragmento, sin modificar el video original. Todo se configura con atributos en el HTML del ensayo, sin editar app.js: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Dónde</w:t>
            </w:r>
          </w:p>
        </w:tc>
        <w:tc>
          <w:tcPr>
            <w:tcW w:type="dxa" w:w="3135"/>
            <w:shd w:val="clear" w:color="auto" w:fill="1F4E79"/>
          </w:tcPr>
          <w:p>
            <w:r>
              <w:rPr>
                <w:b/>
                <w:color w:val="FFFFFF"/>
                <w:sz w:val="20"/>
              </w:rPr>
              <w:t>Atributo</w:t>
            </w:r>
          </w:p>
        </w:tc>
        <w:tc>
          <w:tcPr>
            <w:tcW w:type="dxa" w:w="3135"/>
            <w:shd w:val="clear" w:color="auto" w:fill="1F4E79"/>
          </w:tcPr>
          <w:p>
            <w:r>
              <w:rPr>
                <w:b/>
                <w:color w:val="FFFFFF"/>
                <w:sz w:val="20"/>
              </w:rPr>
              <w:t>Qué indica</w:t>
            </w:r>
          </w:p>
        </w:tc>
      </w:tr>
      <w:tr>
        <w:tc>
          <w:tcPr>
            <w:tcW w:type="dxa" w:w="3135"/>
          </w:tcPr>
          <w:p>
            <w:r>
              <w:rPr>
                <w:sz w:val="20"/>
              </w:rPr>
              <w:t>&lt;iframe class="videoVimeo"&gt;</w:t>
            </w:r>
          </w:p>
        </w:tc>
        <w:tc>
          <w:tcPr>
            <w:tcW w:type="dxa" w:w="3135"/>
          </w:tcPr>
          <w:p>
            <w:r>
              <w:rPr>
                <w:sz w:val="20"/>
              </w:rPr>
              <w:t>data-video y data-h</w:t>
            </w:r>
          </w:p>
        </w:tc>
        <w:tc>
          <w:tcPr>
            <w:tcW w:type="dxa" w:w="3135"/>
          </w:tcPr>
          <w:p>
            <w:r>
              <w:rPr>
                <w:sz w:val="20"/>
              </w:rPr>
              <w:t>Identificador del video en Vimeo y su código de privacidad (aparecen en el enlace: vimeo.com/ID/HASH).</w:t>
            </w:r>
          </w:p>
        </w:tc>
      </w:tr>
      <w:tr>
        <w:tc>
          <w:tcPr>
            <w:tcW w:type="dxa" w:w="3135"/>
          </w:tcPr>
          <w:p>
            <w:r>
              <w:rPr>
                <w:sz w:val="20"/>
              </w:rPr>
              <w:t>&lt;iframe class="videoVimeo"&gt;</w:t>
            </w:r>
          </w:p>
        </w:tc>
        <w:tc>
          <w:tcPr>
            <w:tcW w:type="dxa" w:w="3135"/>
          </w:tcPr>
          <w:p>
            <w:r>
              <w:rPr>
                <w:sz w:val="20"/>
              </w:rPr>
              <w:t>data-inicio y data-fin</w:t>
            </w:r>
          </w:p>
        </w:tc>
        <w:tc>
          <w:tcPr>
            <w:tcW w:type="dxa" w:w="3135"/>
          </w:tcPr>
          <w:p>
            <w:r>
              <w:rPr>
                <w:sz w:val="20"/>
              </w:rPr>
              <w:t>Segundo en que inicia y segundo en que se pausa el fragmento del ensayo (minutos × 60 + segundos).</w:t>
            </w:r>
          </w:p>
        </w:tc>
      </w:tr>
      <w:tr>
        <w:tc>
          <w:tcPr>
            <w:tcW w:type="dxa" w:w="3135"/>
          </w:tcPr>
          <w:p>
            <w:r>
              <w:rPr>
                <w:sz w:val="20"/>
              </w:rPr>
              <w:t>Botón capBtn capPropio</w:t>
            </w:r>
          </w:p>
        </w:tc>
        <w:tc>
          <w:tcPr>
            <w:tcW w:type="dxa" w:w="3135"/>
          </w:tcPr>
          <w:p>
            <w:r>
              <w:rPr>
                <w:sz w:val="20"/>
              </w:rPr>
              <w:t>data-t y data-fin</w:t>
            </w:r>
          </w:p>
        </w:tc>
        <w:tc>
          <w:tcPr>
            <w:tcW w:type="dxa" w:w="3135"/>
          </w:tcPr>
          <w:p>
            <w:r>
              <w:rPr>
                <w:sz w:val="20"/>
              </w:rPr>
              <w:t>Inicio y pausa de cada capítulo del ensayo.</w:t>
            </w:r>
          </w:p>
        </w:tc>
      </w:tr>
      <w:tr>
        <w:tc>
          <w:tcPr>
            <w:tcW w:type="dxa" w:w="3135"/>
          </w:tcPr>
          <w:p>
            <w:r>
              <w:rPr>
                <w:sz w:val="20"/>
              </w:rPr>
              <w:t>Botón capBtn (sin capPropio)</w:t>
            </w:r>
          </w:p>
        </w:tc>
        <w:tc>
          <w:tcPr>
            <w:tcW w:type="dxa" w:w="3135"/>
          </w:tcPr>
          <w:p>
            <w:r>
              <w:rPr>
                <w:sz w:val="20"/>
              </w:rPr>
              <w:t>data-t</w:t>
            </w:r>
          </w:p>
        </w:tc>
        <w:tc>
          <w:tcPr>
            <w:tcW w:type="dxa" w:w="3135"/>
          </w:tcPr>
          <w:p>
            <w:r>
              <w:rPr>
                <w:sz w:val="20"/>
              </w:rPr>
              <w:t>Capítulos de otros ensayos; reproducen el video completo sin pausa.</w:t>
            </w:r>
          </w:p>
        </w:tc>
      </w:tr>
    </w:tbl>
    <w:p>
      <w:pPr>
        <w:spacing w:after="40"/>
      </w:pPr>
    </w:p>
    <w:p>
      <w:pPr>
        <w:spacing w:after="120" w:line="276" w:lineRule="auto"/>
        <w:jc w:val="both"/>
      </w:pPr>
      <w:r>
        <w:t>Junto al video debe mantenerse el párrafo de crédito (videoFuente) exigido por el titular, con el enlace al video original.</w:t>
      </w:r>
    </w:p>
    <w:p>
      <w:pPr>
        <w:pStyle w:val="Heading1"/>
      </w:pPr>
      <w:r>
        <w:t>12. Habilitar una práctica o crear el módulo de una nueva asignatura</w:t>
      </w:r>
    </w:p>
    <w:p>
      <w:pPr>
        <w:pStyle w:val="Heading2"/>
      </w:pPr>
      <w:r>
        <w:t>12.1 Habilitar una práctica dentro de un módulo</w:t>
      </w:r>
    </w:p>
    <w:p>
      <w:pPr>
        <w:spacing w:after="120" w:line="276" w:lineRule="auto"/>
        <w:jc w:val="both"/>
      </w:pPr>
      <w:r>
        <w:t>En la sección de prácticas del módulo, cambie en la tarjeta correspondiente la clase materia bloqueada por materia activa, y el bloque &lt;div class="estado"&gt;Próximamente&lt;/div&gt; por &lt;div class="estado disponible"&gt;Disponible&lt;/div&gt;. Luego agregue el título de la práctica y sus ensayos según el numeral 10.</w:t>
      </w:r>
    </w:p>
    <w:p>
      <w:pPr>
        <w:pStyle w:val="Heading2"/>
      </w:pPr>
      <w:r>
        <w:t>12.2 Crear el módulo de una nueva asignatura</w:t>
      </w:r>
    </w:p>
    <w:p>
      <w:pPr>
        <w:tabs>
          <w:tab w:pos="510" w:val="left"/>
        </w:tabs>
        <w:spacing w:after="80"/>
        <w:ind w:left="510" w:hanging="340"/>
        <w:jc w:val="both"/>
      </w:pPr>
      <w:r>
        <w:rPr>
          <w:b/>
        </w:rPr>
        <w:t>1.</w:t>
        <w:tab/>
      </w:r>
      <w:r>
        <w:t>Haga una copia de modulo.html con el nombre de la asignatura, sin tildes ni espacios (por ejemplo, geotecnia.html). En GitHub: abra modulo.html, copie todo su contenido, y use Add file → Create new file para pegarlo con el nuevo nombre.</w:t>
      </w:r>
    </w:p>
    <w:p>
      <w:pPr>
        <w:tabs>
          <w:tab w:pos="510" w:val="left"/>
        </w:tabs>
        <w:spacing w:after="80"/>
        <w:ind w:left="510" w:hanging="340"/>
        <w:jc w:val="both"/>
      </w:pPr>
      <w:r>
        <w:rPr>
          <w:b/>
        </w:rPr>
        <w:t>2.</w:t>
        <w:tab/>
      </w:r>
      <w:r>
        <w:t>En el nuevo archivo, cambie el título de la pestaña (&lt;title&gt;), la ruta de navegación (breadcrumb), el encabezado (moduloHero), las tarjetas de prácticas y el título de la sección de ensayos.</w:t>
      </w:r>
    </w:p>
    <w:p>
      <w:pPr>
        <w:tabs>
          <w:tab w:pos="510" w:val="left"/>
        </w:tabs>
        <w:spacing w:after="80"/>
        <w:ind w:left="510" w:hanging="340"/>
        <w:jc w:val="both"/>
      </w:pPr>
      <w:r>
        <w:rPr>
          <w:b/>
        </w:rPr>
        <w:t>3.</w:t>
        <w:tab/>
      </w:r>
      <w:r>
        <w:t>Elimine los ensayos de Pavimentos y agregue los de la nueva asignatura con la plantilla (numeral 10). Los data-id no deben repetirse con los de otros módulos.</w:t>
      </w:r>
    </w:p>
    <w:p>
      <w:pPr>
        <w:tabs>
          <w:tab w:pos="510" w:val="left"/>
        </w:tabs>
        <w:spacing w:after="80"/>
        <w:ind w:left="510" w:hanging="340"/>
        <w:jc w:val="both"/>
      </w:pPr>
      <w:r>
        <w:rPr>
          <w:b/>
        </w:rPr>
        <w:t>4.</w:t>
        <w:tab/>
      </w:r>
      <w:r>
        <w:t>En index.html, en la tarjeta de la asignatura, cambie materia bloqueada por materia activa, el estado a Disponible y agregue el botón &lt;button class="btnEntrar" data-href="geotecnia.html"&gt;Entrar al módulo&lt;/button&gt;.</w:t>
      </w:r>
    </w:p>
    <w:p>
      <w:pPr>
        <w:tabs>
          <w:tab w:pos="510" w:val="left"/>
        </w:tabs>
        <w:spacing w:after="80"/>
        <w:ind w:left="510" w:hanging="340"/>
        <w:jc w:val="both"/>
      </w:pPr>
      <w:r>
        <w:rPr>
          <w:b/>
        </w:rPr>
        <w:t>5.</w:t>
        <w:tab/>
      </w:r>
      <w:r>
        <w:t>Publique, verifique la navegación desde la página principal y registre la nueva versión.</w:t>
      </w:r>
    </w:p>
    <w:p>
      <w:pPr>
        <w:pStyle w:val="Heading1"/>
      </w:pPr>
      <w:r>
        <w:t>13. Solución de problemas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Problema</w:t>
            </w:r>
          </w:p>
        </w:tc>
        <w:tc>
          <w:tcPr>
            <w:tcW w:type="dxa" w:w="3135"/>
            <w:shd w:val="clear" w:color="auto" w:fill="1F4E79"/>
          </w:tcPr>
          <w:p>
            <w:r>
              <w:rPr>
                <w:b/>
                <w:color w:val="FFFFFF"/>
                <w:sz w:val="20"/>
              </w:rPr>
              <w:t>Causa probable</w:t>
            </w:r>
          </w:p>
        </w:tc>
        <w:tc>
          <w:tcPr>
            <w:tcW w:type="dxa" w:w="3135"/>
            <w:shd w:val="clear" w:color="auto" w:fill="1F4E79"/>
          </w:tcPr>
          <w:p>
            <w:r>
              <w:rPr>
                <w:b/>
                <w:color w:val="FFFFFF"/>
                <w:sz w:val="20"/>
              </w:rPr>
              <w:t>Solución</w:t>
            </w:r>
          </w:p>
        </w:tc>
      </w:tr>
      <w:tr>
        <w:tc>
          <w:tcPr>
            <w:tcW w:type="dxa" w:w="3135"/>
          </w:tcPr>
          <w:p>
            <w:r>
              <w:rPr>
                <w:sz w:val="20"/>
              </w:rPr>
              <w:t>No se ven los cambios publicados.</w:t>
            </w:r>
          </w:p>
        </w:tc>
        <w:tc>
          <w:tcPr>
            <w:tcW w:type="dxa" w:w="3135"/>
          </w:tcPr>
          <w:p>
            <w:r>
              <w:rPr>
                <w:sz w:val="20"/>
              </w:rPr>
              <w:t>El navegador usa una copia guardada o GitHub Pages no ha terminado de publicar.</w:t>
            </w:r>
          </w:p>
        </w:tc>
        <w:tc>
          <w:tcPr>
            <w:tcW w:type="dxa" w:w="3135"/>
          </w:tcPr>
          <w:p>
            <w:r>
              <w:rPr>
                <w:sz w:val="20"/>
              </w:rPr>
              <w:t>Esperar dos minutos y recargar con Ctrl + F5; si se modificó CSS o JS, aumentar el número ?v=.</w:t>
            </w:r>
          </w:p>
        </w:tc>
      </w:tr>
      <w:tr>
        <w:tc>
          <w:tcPr>
            <w:tcW w:type="dxa" w:w="3135"/>
          </w:tcPr>
          <w:p>
            <w:r>
              <w:rPr>
                <w:sz w:val="20"/>
              </w:rPr>
              <w:t>Los botones del video, las pestañas o la autoevaluación no responden.</w:t>
            </w:r>
          </w:p>
        </w:tc>
        <w:tc>
          <w:tcPr>
            <w:tcW w:type="dxa" w:w="3135"/>
          </w:tcPr>
          <w:p>
            <w:r>
              <w:rPr>
                <w:sz w:val="20"/>
              </w:rPr>
              <w:t>app.js o styles.css se subieron fuera de su carpeta, o hay un error de escritura en app.js.</w:t>
            </w:r>
          </w:p>
        </w:tc>
        <w:tc>
          <w:tcPr>
            <w:tcW w:type="dxa" w:w="3135"/>
          </w:tcPr>
          <w:p>
            <w:r>
              <w:rPr>
                <w:sz w:val="20"/>
              </w:rPr>
              <w:t>Verificar que los archivos estén en js/ y css/. Revisar el último cambio en la pestaña Commits y revertirlo si es necesario.</w:t>
            </w:r>
          </w:p>
        </w:tc>
      </w:tr>
      <w:tr>
        <w:tc>
          <w:tcPr>
            <w:tcW w:type="dxa" w:w="3135"/>
          </w:tcPr>
          <w:p>
            <w:r>
              <w:rPr>
                <w:sz w:val="20"/>
              </w:rPr>
              <w:t>La autoevaluación muestra el mensaje de advertencia.</w:t>
            </w:r>
          </w:p>
        </w:tc>
        <w:tc>
          <w:tcPr>
            <w:tcW w:type="dxa" w:w="3135"/>
          </w:tcPr>
          <w:p>
            <w:r>
              <w:rPr>
                <w:sz w:val="20"/>
              </w:rPr>
              <w:t>El data-quiz no coincide con una clave de PREGUNTAS, o hay una coma o comilla faltante en app.js.</w:t>
            </w:r>
          </w:p>
        </w:tc>
        <w:tc>
          <w:tcPr>
            <w:tcW w:type="dxa" w:w="3135"/>
          </w:tcPr>
          <w:p>
            <w:r>
              <w:rPr>
                <w:sz w:val="20"/>
              </w:rPr>
              <w:t>Revisar que la clave sea idéntica al data-id y que cada pregunta termine con su llave y coma.</w:t>
            </w:r>
          </w:p>
        </w:tc>
      </w:tr>
      <w:tr>
        <w:tc>
          <w:tcPr>
            <w:tcW w:type="dxa" w:w="3135"/>
          </w:tcPr>
          <w:p>
            <w:r>
              <w:rPr>
                <w:sz w:val="20"/>
              </w:rPr>
              <w:t>El video no carga o sale en negro.</w:t>
            </w:r>
          </w:p>
        </w:tc>
        <w:tc>
          <w:tcPr>
            <w:tcW w:type="dxa" w:w="3135"/>
          </w:tcPr>
          <w:p>
            <w:r>
              <w:rPr>
                <w:sz w:val="20"/>
              </w:rPr>
              <w:t>Datos del video incorrectos o red que bloquea Vimeo.</w:t>
            </w:r>
          </w:p>
        </w:tc>
        <w:tc>
          <w:tcPr>
            <w:tcW w:type="dxa" w:w="3135"/>
          </w:tcPr>
          <w:p>
            <w:r>
              <w:rPr>
                <w:sz w:val="20"/>
              </w:rPr>
              <w:t>Verificar data-video y data-h con el enlace original; probar desde otra red.</w:t>
            </w:r>
          </w:p>
        </w:tc>
      </w:tr>
      <w:tr>
        <w:tc>
          <w:tcPr>
            <w:tcW w:type="dxa" w:w="3135"/>
          </w:tcPr>
          <w:p>
            <w:r>
              <w:rPr>
                <w:sz w:val="20"/>
              </w:rPr>
              <w:t>Una imagen no aparece.</w:t>
            </w:r>
          </w:p>
        </w:tc>
        <w:tc>
          <w:tcPr>
            <w:tcW w:type="dxa" w:w="3135"/>
          </w:tcPr>
          <w:p>
            <w:r>
              <w:rPr>
                <w:sz w:val="20"/>
              </w:rPr>
              <w:t>Nombre o carpeta distinta a la indicada en el HTML (se distinguen mayúsculas y minúsculas).</w:t>
            </w:r>
          </w:p>
        </w:tc>
        <w:tc>
          <w:tcPr>
            <w:tcW w:type="dxa" w:w="3135"/>
          </w:tcPr>
          <w:p>
            <w:r>
              <w:rPr>
                <w:sz w:val="20"/>
              </w:rPr>
              <w:t>Verificar que la ruta en src coincida exactamente con el archivo subido.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EAF1FB"/>
          </w:tcPr>
          <w:p>
            <w:pPr>
              <w:jc w:val="both"/>
            </w:pPr>
            <w:r>
              <w:rPr>
                <w:b/>
              </w:rPr>
              <w:t xml:space="preserve">Nota: </w:t>
            </w:r>
            <w:r>
              <w:t>Ante cualquier error, el historial de GitHub permite volver a la versión anterior: en la pestaña Commits, abra el cambio problemático y revierta el archivo afectado a su contenido previo.</w:t>
            </w:r>
          </w:p>
        </w:tc>
      </w:tr>
    </w:tbl>
    <w:p>
      <w:pPr>
        <w:spacing w:after="40"/>
      </w:pP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Manual de administración de LIIC Aprende – v1.0 – Página </w:t>
    </w:r>
    <w:r>
      <w:rPr>
        <w:sz w:val="16"/>
      </w:rPr>
      <w:fldChar w:fldCharType="begin"/>
    </w:r>
    <w:r>
      <w:rPr>
        <w:sz w:val="16"/>
      </w:rPr>
      <w:instrText>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