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mpv toggle — if a live channel shows artifacts or won't play on the fast engine, the gear button pins that channel to mpv. It's remembered per channel, so it opens on mpv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t>VOD engine fallback — a movie or episode that terminally fails on one engine is retried on the other; if both fail, the error says so explicitly.</w:t>
      </w:r>
    </w:p>
    <w:p>
      <w:pPr>
        <w:pStyle w:val="ListBullet"/>
      </w:pPr>
      <w:r>
        <w:t>Per-item engine toggle (⇄ MPV/EXO pill) for movies &amp; episodes, with the active engine shown in the player top bar and Stream Info; the choice is remembered per item (like Live's compatibility mode).</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scale, preferred audio/subtitle language, and visibility settings</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or Live TV on Favorites</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t>Font customization — app text size from 60% to 140% in 5% steps, with independent main-interface and popup font selectors. Choices are System Sans, Lora, Playfair Display, Dancing Script, and Poppins; defaults remain 100%, System Sans, and Lora. Apply saves staged changes, Reset restores defaults, and Back cancels.</w:t>
      </w:r>
    </w:p>
    <w:p>
      <w:pPr>
        <w:pStyle w:val="ListBullet"/>
      </w:pPr>
      <w:r>
        <w:t>Font choices are available in every interface language, with Android font fallback for glyphs a selected family does not contain. The global choices survive restart and are included in backup/restore. Subtitle typography stays independent, and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Ultra Clear, Clear, Balanced, Tinted, Opaque and Custom choices; 20-100% tint, ten real frost levels, Highlight strength, adaptive readability, optional depth/parallax, live preview, per-surface controls, and local or remote wallpaper.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a separate opt-in radiance setting for the solid interface, hidden while Glass Effect is active. Glow is off by default; enabling it reveals an independent Slow pulse switch, and Animations Off freezes the pulse.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Generated Trending snapshots and fetched TMDB metadata are excluded and rebuilt after sync.</w:t>
      </w:r>
    </w:p>
    <w:p>
      <w:pPr>
        <w:pStyle w:val="ListBullet"/>
      </w:pPr>
      <w:r>
        <w:rPr>
          <w:rFonts w:ascii="Cambria" w:hAnsi="Cambria"/>
          <w:sz w:val="22"/>
        </w:rPr>
        <w:t>Written as a single .own container file: the backup data plus the Glass Effect background image, so the wallpaper survives a restore onto another device</w:t>
      </w:r>
    </w:p>
    <w:p>
      <w:pPr>
        <w:pStyle w:val="ListBullet"/>
      </w:pPr>
      <w:r>
        <w:rPr>
          <w:rFonts w:ascii="Cambria" w:hAnsi="Cambria"/>
          <w:sz w:val="22"/>
        </w:rPr>
        <w:t>Optional backup password encrypts the entire container (AES-256-GCM, PBKDF2), not only the stored secrets; without it the file is unencrypted and secrets are omitted</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