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0000ff"/>
          <w:sz w:val="31"/>
          <w:szCs w:val="31"/>
          <w:rtl w:val="0"/>
        </w:rPr>
        <w:t xml:space="preserve">Laboratorio 2 - Grupo Kam Lu Wantan: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Astrid Nayeli Fuentes Hurtado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María Celina Soto Casasola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Matias Enrique Rubiños Egusquiza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Daniel Bagkdan Lehinad Cardenas Paniagua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José Alonso Zapata Castro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4a86e8"/>
          <w:sz w:val="23"/>
          <w:szCs w:val="23"/>
        </w:rPr>
      </w:pPr>
      <w:r w:rsidDel="00000000" w:rsidR="00000000" w:rsidRPr="00000000">
        <w:rPr>
          <w:b w:val="1"/>
          <w:bCs w:val="1"/>
          <w:color w:val="4a86e8"/>
          <w:sz w:val="23"/>
          <w:szCs w:val="23"/>
          <w:rtl w:val="0"/>
        </w:rPr>
        <w:t xml:space="preserve">Introducción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4a86e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1b1b1b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Los alumnos del curso “Introducción a las Señales Biomédicas” de la Universidad Peruana Cayetano Heredia y la Pontificia Universidad Católica del Perú son jóvenes cuyas edades oscilan entre 20 a 26 años aproximadamente, por lo que pertenecen a la denominada Generación Z [1]. Recientemente se ha observado que el 95% de esta generación posee o tiene acceso a un celular y casi el 97% usa internet diariamente [2]. Al tener acceso a internet, inclusive mínimamente a un celular, ya se cuenta con acceso a diferentes plataformas, entre las cuales se destacan las redes sociales, que hoy en día han tomado una relevancia significativa dado a la variedad de contenido que presenta. </w:t>
      </w:r>
      <w:r w:rsidDel="00000000" w:rsidR="00000000" w:rsidRPr="00000000">
        <w:rPr>
          <w:color w:val="1b1b1b"/>
          <w:sz w:val="21"/>
          <w:szCs w:val="21"/>
          <w:highlight w:val="white"/>
          <w:rtl w:val="0"/>
        </w:rPr>
        <w:t xml:space="preserve">Cabe mencionar que </w:t>
      </w:r>
      <w:r w:rsidDel="00000000" w:rsidR="00000000" w:rsidRPr="00000000">
        <w:rPr>
          <w:color w:val="1b1b1b"/>
          <w:sz w:val="21"/>
          <w:szCs w:val="21"/>
          <w:highlight w:val="white"/>
          <w:rtl w:val="0"/>
        </w:rPr>
        <w:t xml:space="preserve">el 59% de los usuarios de redes sociales presentan un rango de edad entre 18 y 35 años [3]. Actualmente, las redes sociales con mayor demanda son Youtube, TikTok e Instagram [4]. Estas redes sociales presentan características similares entre ellas, como la proyección y difusión de videos de corta duración sobre variadas temáticas, aspecto sobre el cual se podría atribuir su creciente demanda.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1b1b1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1b1b1b"/>
          <w:sz w:val="21"/>
          <w:szCs w:val="21"/>
          <w:highlight w:val="white"/>
        </w:rPr>
      </w:pPr>
      <w:r w:rsidDel="00000000" w:rsidR="00000000" w:rsidRPr="00000000">
        <w:rPr>
          <w:color w:val="1b1b1b"/>
          <w:sz w:val="21"/>
          <w:szCs w:val="21"/>
          <w:highlight w:val="white"/>
          <w:rtl w:val="0"/>
        </w:rPr>
        <w:t xml:space="preserve">Por otro lado, si bien las redes sociales son una fuente creciente de información, contactos e incluso medio social entre jóvenes, diversas instituciones han expresado su preocupación con respecto a su impacto en el desarrollo cognitivo de los niños y los adultos jóvenes [4]. Estudios actuales atribuyen que los efectos de las redes sociales en el desarrollo cognitivo es multifacético, con resultados tanto positivos como negativos [4,5,6,7]. Estos resultados pueden atribuirse a factores, como el tipo de plataforma, la naturaleza de la interacción y características individuales como las habilidades cognitivas preexistentes y el estado emocional [4]. Sin embargo, el hecho de que se hayan registrado efectos en pro y contra del uso de las redes sociales, no implica que se deba hacer sobre uso de estas plataformas, puesto que su uso excesivo está demostrado que puede llegar a generar dependencia, ansiedad, percepción errónea del entorno y en el ámbito cognitivo, como la atención y  memoria [8,9].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4a86e8"/>
          <w:sz w:val="23"/>
          <w:szCs w:val="23"/>
          <w:rtl w:val="0"/>
        </w:rPr>
        <w:t xml:space="preserve">Problemática a abordar</w:t>
      </w: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Dificultad en la atención en estudiantes de ingeniería biomédica (20-26 años) derivada del consumo de contenido de corta duración (TikTok/Reels) y su implicancia en la memoria y rendimiento académico.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4a86e8"/>
          <w:sz w:val="23"/>
          <w:szCs w:val="23"/>
        </w:rPr>
      </w:pPr>
      <w:r w:rsidDel="00000000" w:rsidR="00000000" w:rsidRPr="00000000">
        <w:rPr>
          <w:b w:val="1"/>
          <w:bCs w:val="1"/>
          <w:color w:val="4a86e8"/>
          <w:sz w:val="23"/>
          <w:szCs w:val="23"/>
          <w:rtl w:val="0"/>
        </w:rPr>
        <w:t xml:space="preserve">Propuesta de solución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Evaluación de efectos de vídeos cortos en el desarrollo de habilidades cognitivas mediante la comparativa de potencia de diferentes ondas cerebrales presentes en EEG.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4a86e8"/>
          <w:sz w:val="23"/>
          <w:szCs w:val="23"/>
        </w:rPr>
      </w:pPr>
      <w:r w:rsidDel="00000000" w:rsidR="00000000" w:rsidRPr="00000000">
        <w:rPr>
          <w:b w:val="1"/>
          <w:bCs w:val="1"/>
          <w:color w:val="4a86e8"/>
          <w:sz w:val="23"/>
          <w:szCs w:val="23"/>
          <w:rtl w:val="0"/>
        </w:rPr>
        <w:t xml:space="preserve">Plan de actividades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428625</wp:posOffset>
                </wp:positionH>
                <wp:positionV relativeFrom="paragraph">
                  <wp:posOffset>118935</wp:posOffset>
                </wp:positionV>
                <wp:extent cx="4672013" cy="3358622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425" y="0"/>
                          <a:ext cx="4672013" cy="3358622"/>
                          <a:chOff x="48425" y="0"/>
                          <a:chExt cx="6809575" cy="49015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532825" y="-28775"/>
                            <a:ext cx="1508400" cy="521400"/>
                          </a:xfrm>
                          <a:prstGeom prst="rect">
                            <a:avLst/>
                          </a:prstGeom>
                          <a:solidFill>
                            <a:srgbClr val="6AA84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Identificar población de estudio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532825" y="700125"/>
                            <a:ext cx="1809900" cy="440400"/>
                          </a:xfrm>
                          <a:prstGeom prst="rect">
                            <a:avLst/>
                          </a:prstGeom>
                          <a:solidFill>
                            <a:srgbClr val="4A86E8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Clasificar recurrencia de uso de redes sociales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639225" y="-28775"/>
                            <a:ext cx="2751600" cy="521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Estudiantes de Instrumentación biomédica del 2026-1 de entre 20 a 26 años.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617900" y="678025"/>
                            <a:ext cx="2960400" cy="4926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Mediante la Escala de Adicción a las Redes Sociales de Bergen (BSNAS) o semejantes.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810400" y="2212625"/>
                            <a:ext cx="1306500" cy="440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1C4587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Selección de los videos cortos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428300" y="2186525"/>
                            <a:ext cx="2429700" cy="4926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1C4587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 acuerdo al nivel de atención que capta/ vistas que presenta el video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532825" y="1348025"/>
                            <a:ext cx="1809900" cy="605400"/>
                          </a:xfrm>
                          <a:prstGeom prst="rect">
                            <a:avLst/>
                          </a:prstGeom>
                          <a:solidFill>
                            <a:srgbClr val="1C4587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Adquirir datos biométricos y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psicométricos.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644275" y="2189700"/>
                            <a:ext cx="15666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1c4587"/>
                                  <w:sz w:val="20"/>
                                  <w:vertAlign w:val="baseline"/>
                                </w:rPr>
                                <w:t xml:space="preserve">Diseñar el protocolo de estimulación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4311900" y="2872588"/>
                            <a:ext cx="2546100" cy="521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1155CC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 acuerdo a Índice de Legibilidad de Flesch-Szigriszt, se optara por lecturas de complejidad media y baja.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603350" y="2776250"/>
                            <a:ext cx="1508400" cy="64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1c4587"/>
                                  <w:sz w:val="20"/>
                                  <w:vertAlign w:val="baseline"/>
                                </w:rPr>
                                <w:t xml:space="preserve">Diseñar el protocolo de evaluación complementaria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845050" y="2964125"/>
                            <a:ext cx="1237200" cy="440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28575">
                            <a:solidFill>
                              <a:srgbClr val="1155CC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Selección de lecturas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603350" y="3631100"/>
                            <a:ext cx="15666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1c4587"/>
                                  <w:sz w:val="20"/>
                                  <w:vertAlign w:val="baseline"/>
                                </w:rPr>
                                <w:t xml:space="preserve">Preparar y colocar electrodos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501375" y="3571688"/>
                            <a:ext cx="4362000" cy="605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3C7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Asegurar la impedancia correcta en las áreas de interés (especialmente la corteza prefrontal para medir atención y funciones ejecutivas)[10].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651175" y="4415225"/>
                            <a:ext cx="16917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1c4587"/>
                                  <w:sz w:val="20"/>
                                  <w:vertAlign w:val="baseline"/>
                                </w:rPr>
                                <w:t xml:space="preserve"> 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1c4587"/>
                                  <w:sz w:val="20"/>
                                  <w:vertAlign w:val="baseline"/>
                                </w:rPr>
                                <w:t xml:space="preserve">Registrar de  línea base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2566625" y="4281875"/>
                            <a:ext cx="4231500" cy="605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3C7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Grabar la señal EEG en estado de reposo (ojos abiertos y cerrados) para tener un punto de comparación con el estado de estimulación [11].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7250" y="177775"/>
                            <a:ext cx="20400" cy="149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53200" y="32575"/>
                            <a:ext cx="388500" cy="3987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53200" y="741825"/>
                            <a:ext cx="388500" cy="3987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53200" y="1451075"/>
                            <a:ext cx="388500" cy="3987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41225" y="231925"/>
                            <a:ext cx="597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42725" y="920325"/>
                            <a:ext cx="275100" cy="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44275" y="2436000"/>
                            <a:ext cx="6900" cy="214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536875" y="2259973"/>
                            <a:ext cx="214800" cy="2385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536875" y="3037448"/>
                            <a:ext cx="214800" cy="2385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536875" y="3700523"/>
                            <a:ext cx="214800" cy="2385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536875" y="4478848"/>
                            <a:ext cx="214800" cy="2385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53200" y="32575"/>
                            <a:ext cx="5979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2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53200" y="741825"/>
                            <a:ext cx="597900" cy="60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2"/>
                                  <w:vertAlign w:val="baseline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53200" y="1405500"/>
                            <a:ext cx="597900" cy="52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2"/>
                                  <w:vertAlign w:val="baseline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440775" y="2192738"/>
                            <a:ext cx="597900" cy="60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3.1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210875" y="2432700"/>
                            <a:ext cx="599400" cy="3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232088" y="3182675"/>
                            <a:ext cx="599400" cy="3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169950" y="3874400"/>
                            <a:ext cx="331500" cy="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42875" y="4584575"/>
                            <a:ext cx="223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116900" y="2430875"/>
                            <a:ext cx="275100" cy="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082250" y="3184325"/>
                            <a:ext cx="229800" cy="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440775" y="2946638"/>
                            <a:ext cx="597900" cy="60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3.2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440775" y="3636638"/>
                            <a:ext cx="597900" cy="60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3.3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0" name="Shape 40"/>
                        <wps:spPr>
                          <a:xfrm>
                            <a:off x="409675" y="4455950"/>
                            <a:ext cx="469200" cy="26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3.4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428625</wp:posOffset>
                </wp:positionH>
                <wp:positionV relativeFrom="paragraph">
                  <wp:posOffset>118935</wp:posOffset>
                </wp:positionV>
                <wp:extent cx="4672013" cy="3358622"/>
                <wp:effectExtent b="0" l="0" r="0" t="0"/>
                <wp:wrapSquare wrapText="bothSides" distB="114300" distT="11430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72013" cy="33586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180975</wp:posOffset>
                </wp:positionV>
                <wp:extent cx="4672013" cy="219551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575" y="106825"/>
                          <a:ext cx="4672013" cy="2195519"/>
                          <a:chOff x="48575" y="106825"/>
                          <a:chExt cx="6809425" cy="3189425"/>
                        </a:xfrm>
                      </wpg:grpSpPr>
                      <wps:wsp>
                        <wps:cNvSpPr/>
                        <wps:cNvPr id="8" name="Shape 8"/>
                        <wps:spPr>
                          <a:xfrm>
                            <a:off x="494525" y="144800"/>
                            <a:ext cx="1790400" cy="338700"/>
                          </a:xfrm>
                          <a:prstGeom prst="rect">
                            <a:avLst/>
                          </a:prstGeom>
                          <a:solidFill>
                            <a:srgbClr val="1C4587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Procesar señales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676450" y="747850"/>
                            <a:ext cx="15666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1c4587"/>
                                  <w:sz w:val="20"/>
                                  <w:vertAlign w:val="baseline"/>
                                </w:rPr>
                                <w:t xml:space="preserve">Eliminación de componentes DC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676350" y="2189250"/>
                            <a:ext cx="15666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1c4587"/>
                                  <w:sz w:val="20"/>
                                  <w:vertAlign w:val="baseline"/>
                                </w:rPr>
                                <w:t xml:space="preserve">Extracción de características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533550" y="2129838"/>
                            <a:ext cx="4362000" cy="605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3C7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Calcular la potencia relativa de las bandas Alpha de 8 a 12 Hz (atención), Beta de 13 a 30 Hz (estrés/alerta) y Theta de 4 a 8 Hz (procesamiento cognitivo)[13].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53350" y="152400"/>
                            <a:ext cx="388500" cy="3987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76450" y="994150"/>
                            <a:ext cx="0" cy="1441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569050" y="818123"/>
                            <a:ext cx="214800" cy="2385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569050" y="1595598"/>
                            <a:ext cx="214800" cy="2385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569050" y="2258673"/>
                            <a:ext cx="214800" cy="2385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53350" y="106825"/>
                            <a:ext cx="597900" cy="52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2"/>
                                  <w:vertAlign w:val="baseline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472950" y="750888"/>
                            <a:ext cx="597900" cy="60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4.1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242950" y="2432550"/>
                            <a:ext cx="290700" cy="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472950" y="1504788"/>
                            <a:ext cx="597900" cy="60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4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.2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472950" y="2189238"/>
                            <a:ext cx="597900" cy="60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4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.3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1" name="Shape 41"/>
                        <wps:spPr>
                          <a:xfrm>
                            <a:off x="745900" y="1526475"/>
                            <a:ext cx="15666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1c4587"/>
                                  <w:sz w:val="20"/>
                                  <w:vertAlign w:val="baseline"/>
                                </w:rPr>
                                <w:t xml:space="preserve">Filtrar digitalmente la señal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2533550" y="1412188"/>
                            <a:ext cx="4362000" cy="605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3C7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highlight w:val="white"/>
                                  <w:vertAlign w:val="baseline"/>
                                </w:rPr>
                                <w:t xml:space="preserve">Aplicar filtros pasa-banda digitales (FIR o IIR) a los datos preprocesados, a menudo con una frecuencia de muestreo de 128 Hz o superior [12].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242950" y="1713350"/>
                            <a:ext cx="290700" cy="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606025" y="2798875"/>
                            <a:ext cx="1927500" cy="492600"/>
                          </a:xfrm>
                          <a:prstGeom prst="rect">
                            <a:avLst/>
                          </a:prstGeom>
                          <a:solidFill>
                            <a:srgbClr val="1C4587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Analizar los resultados y plantear conclusiones.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164850" y="2806475"/>
                            <a:ext cx="388500" cy="3987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6" name="Shape 46"/>
                        <wps:spPr>
                          <a:xfrm>
                            <a:off x="164850" y="2760900"/>
                            <a:ext cx="597900" cy="52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2"/>
                                  <w:vertAlign w:val="baseline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180975</wp:posOffset>
                </wp:positionV>
                <wp:extent cx="4672013" cy="2195519"/>
                <wp:effectExtent b="0" l="0" r="0" t="0"/>
                <wp:wrapSquare wrapText="bothSides" distB="114300" distT="11430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72013" cy="21955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center"/>
        <w:rPr>
          <w:i w:val="1"/>
          <w:iCs w:val="1"/>
          <w:color w:val="262626"/>
          <w:sz w:val="19"/>
          <w:szCs w:val="19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262626"/>
          <w:sz w:val="19"/>
          <w:szCs w:val="19"/>
          <w:rtl w:val="0"/>
        </w:rPr>
        <w:t xml:space="preserve">  Imagen 1. Esquema del planteamiento de trabajo. [Elaboración propia].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b w:val="1"/>
          <w:bCs w:val="1"/>
          <w:color w:val="0b57d0"/>
          <w:sz w:val="23"/>
          <w:szCs w:val="23"/>
        </w:rPr>
      </w:pPr>
      <w:r w:rsidDel="00000000" w:rsidR="00000000" w:rsidRPr="00000000">
        <w:rPr>
          <w:b w:val="1"/>
          <w:bCs w:val="1"/>
          <w:color w:val="0b57d0"/>
          <w:sz w:val="23"/>
          <w:szCs w:val="23"/>
          <w:rtl w:val="0"/>
        </w:rPr>
        <w:t xml:space="preserve">Referencias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b w:val="1"/>
          <w:bCs w:val="1"/>
          <w:color w:val="0b57d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[1] ScienceDirect, “Generation Z,”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ScienceDirect Topics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 [Online]. Available:</w:t>
      </w:r>
      <w:hyperlink r:id="rId7">
        <w:r w:rsidDel="00000000" w:rsidR="00000000" w:rsidRPr="00000000">
          <w:rPr>
            <w:color w:val="262626"/>
            <w:sz w:val="21"/>
            <w:szCs w:val="21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https://www.sciencedirect.com/topics/social-sciences/generation-z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. [Accessed: Apr. 5, 2026].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[2] Pew Research Center, “Teens, Social Media and Technology 2022,”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Internet, Science &amp; Tech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Aug. 10, 2022. [Online]. Available:</w:t>
      </w:r>
      <w:hyperlink r:id="rId9">
        <w:r w:rsidDel="00000000" w:rsidR="00000000" w:rsidRPr="00000000">
          <w:rPr>
            <w:color w:val="262626"/>
            <w:sz w:val="21"/>
            <w:szCs w:val="21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https://www.pewresearch.org/internet/2022/08/10/teens-social-media-and-technology-2022/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. [Accessed: Apr. 5, 2026].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[3] S. Larson, "Usuarios de redes sociales 2024 (Datos y estadísticas globales),"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Priori Data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2024. [Online]. Available:</w:t>
      </w:r>
      <w:hyperlink r:id="rId11">
        <w:r w:rsidDel="00000000" w:rsidR="00000000" w:rsidRPr="00000000">
          <w:rPr>
            <w:color w:val="262626"/>
            <w:sz w:val="21"/>
            <w:szCs w:val="21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https://prioridata.com/data/social-media-usage/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. </w:t>
      </w:r>
      <w:r w:rsidDel="00000000" w:rsidR="00000000" w:rsidRPr="00000000">
        <w:rPr>
          <w:color w:val="1f1f1f"/>
          <w:highlight w:val="white"/>
          <w:rtl w:val="0"/>
        </w:rPr>
        <w:t xml:space="preserve">[Accessed: Apr. 5, 2026].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</w:rPr>
      </w:pPr>
      <w:r w:rsidDel="00000000" w:rsidR="00000000" w:rsidRPr="00000000">
        <w:rPr>
          <w:color w:val="262626"/>
          <w:rtl w:val="0"/>
        </w:rPr>
        <w:t xml:space="preserve">[4] V. S. Naik, E. G. Mathias, P. Krishnan, and V. Jagannath, "Impact of social media on cognitive development of children and young adults: a systematic review," </w:t>
      </w:r>
      <w:r w:rsidDel="00000000" w:rsidR="00000000" w:rsidRPr="00000000">
        <w:rPr>
          <w:i w:val="1"/>
          <w:iCs w:val="1"/>
          <w:color w:val="262626"/>
          <w:rtl w:val="0"/>
        </w:rPr>
        <w:t xml:space="preserve">BMC Pediatrics</w:t>
      </w:r>
      <w:r w:rsidDel="00000000" w:rsidR="00000000" w:rsidRPr="00000000">
        <w:rPr>
          <w:color w:val="262626"/>
          <w:rtl w:val="0"/>
        </w:rPr>
        <w:t xml:space="preserve">, vol. 25, no. 1, p. 826, 2025. doi: 10.1186/s12887-025-06041-5. </w:t>
      </w:r>
      <w:r w:rsidDel="00000000" w:rsidR="00000000" w:rsidRPr="00000000">
        <w:rPr>
          <w:color w:val="1f1f1f"/>
          <w:highlight w:val="white"/>
          <w:rtl w:val="0"/>
        </w:rPr>
        <w:t xml:space="preserve">[Accessed: Apr. 5, 2026].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1f1f1f"/>
          <w:highlight w:val="white"/>
        </w:rPr>
      </w:pPr>
      <w:r w:rsidDel="00000000" w:rsidR="00000000" w:rsidRPr="00000000">
        <w:rPr>
          <w:color w:val="262626"/>
          <w:rtl w:val="0"/>
        </w:rPr>
        <w:t xml:space="preserve">[5] </w:t>
      </w:r>
      <w:r w:rsidDel="00000000" w:rsidR="00000000" w:rsidRPr="00000000">
        <w:rPr>
          <w:color w:val="1f1f1f"/>
          <w:highlight w:val="white"/>
          <w:rtl w:val="0"/>
        </w:rPr>
        <w:t xml:space="preserve">T. Siebers, I. Beyens, J. L. Pouwels, et al., "Explicación de la variación en la distracción relacionada con las redes sociales en adolescentes: El papel de los factores de conectividad y desconexión social," </w:t>
      </w:r>
      <w:r w:rsidDel="00000000" w:rsidR="00000000" w:rsidRPr="00000000">
        <w:rPr>
          <w:i w:val="1"/>
          <w:iCs w:val="1"/>
          <w:color w:val="1f1f1f"/>
          <w:highlight w:val="white"/>
          <w:rtl w:val="0"/>
        </w:rPr>
        <w:t xml:space="preserve">Curr. Psychol.</w:t>
      </w:r>
      <w:r w:rsidDel="00000000" w:rsidR="00000000" w:rsidRPr="00000000">
        <w:rPr>
          <w:color w:val="1f1f1f"/>
          <w:highlight w:val="white"/>
          <w:rtl w:val="0"/>
        </w:rPr>
        <w:t xml:space="preserve">, vol. 42, pp. 29955–29968, 2023. [Online]. Available:</w:t>
      </w:r>
      <w:hyperlink r:id="rId13">
        <w:r w:rsidDel="00000000" w:rsidR="00000000" w:rsidRPr="00000000">
          <w:rPr>
            <w:color w:val="1f1f1f"/>
            <w:highlight w:val="white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0b57d0"/>
            <w:highlight w:val="white"/>
            <w:u w:val="single"/>
            <w:rtl w:val="0"/>
          </w:rPr>
          <w:t xml:space="preserve">https://doi.org/10.1007/s12144-022-03844-y</w:t>
        </w:r>
      </w:hyperlink>
      <w:r w:rsidDel="00000000" w:rsidR="00000000" w:rsidRPr="00000000">
        <w:rPr>
          <w:color w:val="1f1f1f"/>
          <w:highlight w:val="white"/>
          <w:rtl w:val="0"/>
        </w:rPr>
        <w:t xml:space="preserve">. [Accessed: Apr. 5, 2026].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[6] K. Porwal and D. T. K. Sharma, "Efecto de las redes sociales en la memoria de los adolescentes," </w:t>
      </w:r>
      <w:r w:rsidDel="00000000" w:rsidR="00000000" w:rsidRPr="00000000">
        <w:rPr>
          <w:i w:val="1"/>
          <w:iCs w:val="1"/>
          <w:color w:val="1f1f1f"/>
          <w:highlight w:val="white"/>
          <w:rtl w:val="0"/>
        </w:rPr>
        <w:t xml:space="preserve">Int. J. Indian Psychol.</w:t>
      </w:r>
      <w:r w:rsidDel="00000000" w:rsidR="00000000" w:rsidRPr="00000000">
        <w:rPr>
          <w:color w:val="1f1f1f"/>
          <w:highlight w:val="white"/>
          <w:rtl w:val="0"/>
        </w:rPr>
        <w:t xml:space="preserve">, vol. 7, no. 4, 2019. [Online]. Available:</w:t>
      </w:r>
      <w:hyperlink r:id="rId15">
        <w:r w:rsidDel="00000000" w:rsidR="00000000" w:rsidRPr="00000000">
          <w:rPr>
            <w:color w:val="1f1f1f"/>
            <w:highlight w:val="white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https://ijip.in/articles/effect-of-social-media-on-memory-among-teenagers/</w:t>
        </w:r>
      </w:hyperlink>
      <w:r w:rsidDel="00000000" w:rsidR="00000000" w:rsidRPr="00000000">
        <w:rPr>
          <w:color w:val="1f1f1f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[7] F. Martin, S. Long, K. Haywood, and K. Xie, “Digital distractions in education: a systematic review of research on causes, consequences and prevention strategies,” </w:t>
      </w:r>
      <w:r w:rsidDel="00000000" w:rsidR="00000000" w:rsidRPr="00000000">
        <w:rPr>
          <w:i w:val="1"/>
          <w:iCs w:val="1"/>
          <w:color w:val="1f1f1f"/>
          <w:highlight w:val="white"/>
          <w:rtl w:val="0"/>
        </w:rPr>
        <w:t xml:space="preserve">Educational Technology Research and Development</w:t>
      </w:r>
      <w:r w:rsidDel="00000000" w:rsidR="00000000" w:rsidRPr="00000000">
        <w:rPr>
          <w:color w:val="1f1f1f"/>
          <w:highlight w:val="white"/>
          <w:rtl w:val="0"/>
        </w:rPr>
        <w:t xml:space="preserve">, Aug. 7, 2025. [Online]. Available: https://doi.org/10.1007/s11423-025-10550-6. [Accessed: Apr. 5, 2026].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[8] A. Maguiña-Ballón and A. R. Chávez-Somoza, "El impacto negativo del uso excesivo de las redes sociales en la salud mental de jóvenes peruanos," </w:t>
      </w:r>
      <w:r w:rsidDel="00000000" w:rsidR="00000000" w:rsidRPr="00000000">
        <w:rPr>
          <w:i w:val="1"/>
          <w:iCs w:val="1"/>
          <w:color w:val="1f1f1f"/>
          <w:highlight w:val="white"/>
          <w:rtl w:val="0"/>
        </w:rPr>
        <w:t xml:space="preserve">Apunt. cienc. soc.</w:t>
      </w:r>
      <w:r w:rsidDel="00000000" w:rsidR="00000000" w:rsidRPr="00000000">
        <w:rPr>
          <w:color w:val="1f1f1f"/>
          <w:highlight w:val="white"/>
          <w:rtl w:val="0"/>
        </w:rPr>
        <w:t xml:space="preserve">, vol. 12, no. 2, pp. 46–64, 2024. [Online]. Available:</w:t>
      </w:r>
      <w:hyperlink r:id="rId17">
        <w:r w:rsidDel="00000000" w:rsidR="00000000" w:rsidRPr="00000000">
          <w:rPr>
            <w:color w:val="1f1f1f"/>
            <w:highlight w:val="white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https://doi.org/10.18259/acs.2024004</w:t>
        </w:r>
      </w:hyperlink>
      <w:r w:rsidDel="00000000" w:rsidR="00000000" w:rsidRPr="00000000">
        <w:rPr>
          <w:color w:val="1f1f1f"/>
          <w:highlight w:val="white"/>
          <w:rtl w:val="0"/>
        </w:rPr>
        <w:t xml:space="preserve">. [Accessed: Apr. 5, 2026].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[9] L. Deng, Y. Zhou, and J. Broadbent, “Distraction, multitasking and self-regulation inside university classroom,” </w:t>
      </w:r>
      <w:r w:rsidDel="00000000" w:rsidR="00000000" w:rsidRPr="00000000">
        <w:rPr>
          <w:i w:val="1"/>
          <w:iCs w:val="1"/>
          <w:color w:val="1f1f1f"/>
          <w:highlight w:val="white"/>
          <w:rtl w:val="0"/>
        </w:rPr>
        <w:t xml:space="preserve">Education and Information Technologies</w:t>
      </w:r>
      <w:r w:rsidDel="00000000" w:rsidR="00000000" w:rsidRPr="00000000">
        <w:rPr>
          <w:color w:val="1f1f1f"/>
          <w:highlight w:val="white"/>
          <w:rtl w:val="0"/>
        </w:rPr>
        <w:t xml:space="preserve">, vol. 29, no. 18, pp. 23957–23979, Dec. 2024. [Online]. Available:</w:t>
      </w:r>
      <w:hyperlink r:id="rId19">
        <w:r w:rsidDel="00000000" w:rsidR="00000000" w:rsidRPr="00000000">
          <w:rPr>
            <w:color w:val="1f1f1f"/>
            <w:highlight w:val="white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https://doi.org/10.1007/s10639-024-12786-w</w:t>
        </w:r>
      </w:hyperlink>
      <w:r w:rsidDel="00000000" w:rsidR="00000000" w:rsidRPr="00000000">
        <w:rPr>
          <w:color w:val="1f1f1f"/>
          <w:highlight w:val="white"/>
          <w:rtl w:val="0"/>
        </w:rPr>
        <w:t xml:space="preserve">. [Accessed: Apr. 5, 2026].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[10] A. F. Rossi, L. Pessoa, R. Desimone, and L. G. Ungerleider, "The prefrontal cortex and the executive control of attention," </w:t>
      </w:r>
      <w:r w:rsidDel="00000000" w:rsidR="00000000" w:rsidRPr="00000000">
        <w:rPr>
          <w:i w:val="1"/>
          <w:iCs w:val="1"/>
          <w:color w:val="1f1f1f"/>
          <w:highlight w:val="white"/>
          <w:rtl w:val="0"/>
        </w:rPr>
        <w:t xml:space="preserve">Exp. Brain Res.</w:t>
      </w:r>
      <w:r w:rsidDel="00000000" w:rsidR="00000000" w:rsidRPr="00000000">
        <w:rPr>
          <w:color w:val="1f1f1f"/>
          <w:highlight w:val="white"/>
          <w:rtl w:val="0"/>
        </w:rPr>
        <w:t xml:space="preserve">, vol. 192, no. 3, pp. 489–497, 2009. [Online]. Available:</w:t>
      </w:r>
      <w:hyperlink r:id="rId21">
        <w:r w:rsidDel="00000000" w:rsidR="00000000" w:rsidRPr="00000000">
          <w:rPr>
            <w:color w:val="1f1f1f"/>
            <w:highlight w:val="white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https://doi.org/10.1007/s00221-008-1642-z</w:t>
        </w:r>
      </w:hyperlink>
      <w:r w:rsidDel="00000000" w:rsidR="00000000" w:rsidRPr="00000000">
        <w:rPr>
          <w:color w:val="1f1f1f"/>
          <w:highlight w:val="white"/>
          <w:rtl w:val="0"/>
        </w:rPr>
        <w:t xml:space="preserve">. [Accessed: Apr. 5, 2026].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/>
      </w:pPr>
      <w:r w:rsidDel="00000000" w:rsidR="00000000" w:rsidRPr="00000000">
        <w:rPr>
          <w:color w:val="1f1f1f"/>
          <w:highlight w:val="white"/>
          <w:rtl w:val="0"/>
        </w:rPr>
        <w:t xml:space="preserve">[11] R. J. Barry, A. R. Clarke, S. J. Johnstone, C. A. Magee, and J. A. Rushby, "EEG differences between eyes-closed and eyes-open resting conditions," </w:t>
      </w:r>
      <w:r w:rsidDel="00000000" w:rsidR="00000000" w:rsidRPr="00000000">
        <w:rPr>
          <w:i w:val="1"/>
          <w:iCs w:val="1"/>
          <w:color w:val="1f1f1f"/>
          <w:highlight w:val="white"/>
          <w:rtl w:val="0"/>
        </w:rPr>
        <w:t xml:space="preserve">Clin. Neurophysiol.</w:t>
      </w:r>
      <w:r w:rsidDel="00000000" w:rsidR="00000000" w:rsidRPr="00000000">
        <w:rPr>
          <w:color w:val="1f1f1f"/>
          <w:highlight w:val="white"/>
          <w:rtl w:val="0"/>
        </w:rPr>
        <w:t xml:space="preserve">, vol. 118, no. 12, pp. 2765–2773, Dec. 2007. [Online]. Available:</w:t>
      </w:r>
      <w:hyperlink r:id="rId23">
        <w:r w:rsidDel="00000000" w:rsidR="00000000" w:rsidRPr="00000000">
          <w:rPr>
            <w:color w:val="1f1f1f"/>
            <w:highlight w:val="white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https://doi.org/10.1016/j.clinph.2007.07.028</w:t>
        </w:r>
      </w:hyperlink>
      <w:r w:rsidDel="00000000" w:rsidR="00000000" w:rsidRPr="00000000">
        <w:rPr>
          <w:color w:val="1f1f1f"/>
          <w:highlight w:val="white"/>
          <w:rtl w:val="0"/>
        </w:rPr>
        <w:t xml:space="preserve">. [Accessed: Apr. 5, 2026]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/>
      </w:pPr>
      <w:r w:rsidDel="00000000" w:rsidR="00000000" w:rsidRPr="00000000">
        <w:rPr>
          <w:rtl w:val="0"/>
        </w:rPr>
        <w:t xml:space="preserve">[12]Y. Dasari, L. R. Chebolu, and V. Balasubramanian, "Electroencephalogram analysis on alpha/beta and theta/beta ratios due to shirodhara," </w:t>
      </w:r>
      <w:r w:rsidDel="00000000" w:rsidR="00000000" w:rsidRPr="00000000">
        <w:rPr>
          <w:i w:val="1"/>
          <w:iCs w:val="1"/>
          <w:rtl w:val="0"/>
        </w:rPr>
        <w:t xml:space="preserve">J. Ayurveda Integr. Med.</w:t>
      </w:r>
      <w:r w:rsidDel="00000000" w:rsidR="00000000" w:rsidRPr="00000000">
        <w:rPr>
          <w:rtl w:val="0"/>
        </w:rPr>
        <w:t xml:space="preserve">, vol. 16, no. 2, p. 101094, Mar.–Apr. 2025. [Online]. Available: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https://doi.org/10.1016/j.jaim.2024.101094</w:t>
        </w:r>
      </w:hyperlink>
      <w:r w:rsidDel="00000000" w:rsidR="00000000" w:rsidRPr="00000000">
        <w:rPr>
          <w:rtl w:val="0"/>
        </w:rPr>
        <w:t xml:space="preserve">. [Accessed: Apr. 5, 2026].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/>
      </w:pPr>
      <w:r w:rsidDel="00000000" w:rsidR="00000000" w:rsidRPr="00000000">
        <w:rPr>
          <w:rtl w:val="0"/>
        </w:rPr>
        <w:t xml:space="preserve">[13]G. Vanhollebeke, S. De Smet, R. De Raedt, C. Baeken, P. van Mierlo, and M. A. Vanderhasselt, "The neural correlates of psychosocial stress: A systematic review and meta-analysis of spectral analysis EEG studies," </w:t>
      </w:r>
      <w:r w:rsidDel="00000000" w:rsidR="00000000" w:rsidRPr="00000000">
        <w:rPr>
          <w:i w:val="1"/>
          <w:iCs w:val="1"/>
          <w:rtl w:val="0"/>
        </w:rPr>
        <w:t xml:space="preserve">Neurobiol. Stress</w:t>
      </w:r>
      <w:r w:rsidDel="00000000" w:rsidR="00000000" w:rsidRPr="00000000">
        <w:rPr>
          <w:rtl w:val="0"/>
        </w:rPr>
        <w:t xml:space="preserve">, vol. 18, p. 100452, May 2022. [Online]. Available: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https://doi.org/10.1016/j.ynstr.2022.100452</w:t>
        </w:r>
      </w:hyperlink>
      <w:r w:rsidDel="00000000" w:rsidR="00000000" w:rsidRPr="00000000">
        <w:rPr>
          <w:rtl w:val="0"/>
        </w:rPr>
        <w:t xml:space="preserve">. [Accessed: Apr. 5, 2026].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i.org/10.1007/s10639-024-12786-w" TargetMode="External"/><Relationship Id="rId22" Type="http://schemas.openxmlformats.org/officeDocument/2006/relationships/hyperlink" Target="https://doi.org/10.1007/s00221-008-1642-z" TargetMode="External"/><Relationship Id="rId21" Type="http://schemas.openxmlformats.org/officeDocument/2006/relationships/hyperlink" Target="https://doi.org/10.1007/s00221-008-1642-z" TargetMode="External"/><Relationship Id="rId24" Type="http://schemas.openxmlformats.org/officeDocument/2006/relationships/hyperlink" Target="https://doi.org/10.1016/j.clinph.2007.07.028" TargetMode="External"/><Relationship Id="rId23" Type="http://schemas.openxmlformats.org/officeDocument/2006/relationships/hyperlink" Target="https://doi.org/10.1016/j.clinph.2007.07.02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ewresearch.org/internet/2022/08/10/teens-social-media-and-technology-2022/" TargetMode="External"/><Relationship Id="rId26" Type="http://schemas.openxmlformats.org/officeDocument/2006/relationships/hyperlink" Target="https://doi.org/10.1016/j.jaim.2024.101094" TargetMode="External"/><Relationship Id="rId25" Type="http://schemas.openxmlformats.org/officeDocument/2006/relationships/hyperlink" Target="https://doi.org/10.1016/j.jaim.2024.101094" TargetMode="External"/><Relationship Id="rId28" Type="http://schemas.openxmlformats.org/officeDocument/2006/relationships/hyperlink" Target="https://doi.org/10.1016/j.ynstr.2022.100452" TargetMode="External"/><Relationship Id="rId27" Type="http://schemas.openxmlformats.org/officeDocument/2006/relationships/hyperlink" Target="https://doi.org/10.1016/j.ynstr.2022.100452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sciencedirect.com/topics/social-sciences/generation-z" TargetMode="External"/><Relationship Id="rId8" Type="http://schemas.openxmlformats.org/officeDocument/2006/relationships/hyperlink" Target="https://www.sciencedirect.com/topics/social-sciences/generation-z" TargetMode="External"/><Relationship Id="rId11" Type="http://schemas.openxmlformats.org/officeDocument/2006/relationships/hyperlink" Target="https://prioridata.com/data/social-media-usage/" TargetMode="External"/><Relationship Id="rId10" Type="http://schemas.openxmlformats.org/officeDocument/2006/relationships/hyperlink" Target="https://www.pewresearch.org/internet/2022/08/10/teens-social-media-and-technology-2022/" TargetMode="External"/><Relationship Id="rId13" Type="http://schemas.openxmlformats.org/officeDocument/2006/relationships/hyperlink" Target="https://doi.org/10.1007/s12144-022-03844-y" TargetMode="External"/><Relationship Id="rId12" Type="http://schemas.openxmlformats.org/officeDocument/2006/relationships/hyperlink" Target="https://prioridata.com/data/social-media-usage/" TargetMode="External"/><Relationship Id="rId15" Type="http://schemas.openxmlformats.org/officeDocument/2006/relationships/hyperlink" Target="https://ijip.in/articles/effect-of-social-media-on-memory-among-teenagers/" TargetMode="External"/><Relationship Id="rId14" Type="http://schemas.openxmlformats.org/officeDocument/2006/relationships/hyperlink" Target="https://doi.org/10.1007/s12144-022-03844-y" TargetMode="External"/><Relationship Id="rId17" Type="http://schemas.openxmlformats.org/officeDocument/2006/relationships/hyperlink" Target="https://www.google.com/search?q=https://doi.org/10.18259/acs.2024004" TargetMode="External"/><Relationship Id="rId16" Type="http://schemas.openxmlformats.org/officeDocument/2006/relationships/hyperlink" Target="https://ijip.in/articles/effect-of-social-media-on-memory-among-teenagers/" TargetMode="External"/><Relationship Id="rId19" Type="http://schemas.openxmlformats.org/officeDocument/2006/relationships/hyperlink" Target="https://doi.org/10.1007/s10639-024-12786-w" TargetMode="External"/><Relationship Id="rId18" Type="http://schemas.openxmlformats.org/officeDocument/2006/relationships/hyperlink" Target="https://www.google.com/search?q=https://doi.org/10.18259/acs.2024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