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Integrative Work 2</w:t>
      </w:r>
    </w:p>
    <w:p>
      <w:pPr>
        <w:pStyle w:val="Subtitle"/>
        <w:rPr/>
      </w:pPr>
      <w:r>
        <w:rPr/>
        <w:t>Project</w:t>
      </w:r>
    </w:p>
    <w:p>
      <w:pPr>
        <w:pStyle w:val="Subtitle"/>
        <w:rPr/>
      </w:pPr>
      <w:r>
        <w:rPr/>
        <w:t>2025–2026</w:t>
      </w:r>
    </w:p>
    <w:p>
      <w:pPr>
        <w:pStyle w:val="Heading1"/>
        <w:ind w:hanging="567" w:start="567"/>
        <w:rPr/>
      </w:pPr>
      <w:r>
        <w:rPr/>
        <w:t>Introduction to the Data</w:t>
      </w:r>
    </w:p>
    <w:p>
      <w:pPr>
        <w:pStyle w:val="Normal"/>
        <w:rPr>
          <w:rFonts w:ascii="Aptos Display" w:hAnsi="Aptos Display" w:eastAsia="Times New Roman" w:cs="Times New Roman" w:asciiTheme="majorHAnsi" w:hAnsiTheme="majorHAnsi"/>
          <w:kern w:val="0"/>
          <w:lang w:val="en-GB" w:eastAsia="en-GB"/>
          <w14:ligatures w14:val="none"/>
        </w:rPr>
      </w:pPr>
      <w:r>
        <w:rPr>
          <w:rFonts w:eastAsia="Times New Roman" w:cs="Times New Roman" w:ascii="Aptos Display" w:hAnsi="Aptos Display" w:asciiTheme="majorHAnsi" w:hAnsiTheme="majorHAnsi"/>
          <w:kern w:val="0"/>
          <w:lang w:val="en-GB" w:eastAsia="en-GB"/>
          <w14:ligatures w14:val="none"/>
        </w:rPr>
        <w:t>In the intensive care unit (ICU), community-acquired pneumonia (CAP) remains a leading cause of death, with mortality often around 20% or higher. Treatment frequently includes β-lactam antibiotics, but effectiveness in the ICU can be reduced by augmented renal clearance (ARC). ARC is defined using routine estimates of kidney function: either an estimated creatinine clearance</w:t>
      </w:r>
      <w:r>
        <w:rPr>
          <w:rStyle w:val="FootnoteReference"/>
          <w:rFonts w:eastAsia="Times New Roman" w:cs="Times New Roman" w:ascii="Aptos Display" w:hAnsi="Aptos Display" w:asciiTheme="majorHAnsi" w:hAnsiTheme="majorHAnsi"/>
          <w:kern w:val="0"/>
          <w:lang w:val="en-GB" w:eastAsia="en-GB"/>
          <w14:ligatures w14:val="none"/>
        </w:rPr>
        <w:footnoteReference w:id="2"/>
      </w:r>
      <w:r>
        <w:rPr>
          <w:rFonts w:eastAsia="Times New Roman" w:cs="Times New Roman" w:ascii="Aptos Display" w:hAnsi="Aptos Display" w:asciiTheme="majorHAnsi" w:hAnsiTheme="majorHAnsi"/>
          <w:kern w:val="0"/>
          <w:lang w:val="en-GB" w:eastAsia="en-GB"/>
          <w14:ligatures w14:val="none"/>
        </w:rPr>
        <w:t xml:space="preserve"> &gt;130 mL/min or a glomerular filtration rate</w:t>
      </w:r>
      <w:r>
        <w:rPr>
          <w:rStyle w:val="FootnoteReference"/>
          <w:rFonts w:eastAsia="Times New Roman" w:cs="Times New Roman" w:ascii="Aptos Display" w:hAnsi="Aptos Display" w:asciiTheme="majorHAnsi" w:hAnsiTheme="majorHAnsi"/>
          <w:kern w:val="0"/>
          <w:lang w:val="en-GB" w:eastAsia="en-GB"/>
          <w14:ligatures w14:val="none"/>
        </w:rPr>
        <w:footnoteReference w:id="3"/>
      </w:r>
      <w:r>
        <w:rPr>
          <w:rFonts w:eastAsia="Times New Roman" w:cs="Times New Roman" w:ascii="Aptos Display" w:hAnsi="Aptos Display" w:asciiTheme="majorHAnsi" w:hAnsiTheme="majorHAnsi"/>
          <w:kern w:val="0"/>
          <w:lang w:val="en-GB" w:eastAsia="en-GB"/>
          <w14:ligatures w14:val="none"/>
        </w:rPr>
        <w:t xml:space="preserve"> (eGFR) &gt; 96.5 mL/min/1.73 m</w:t>
      </w:r>
      <w:r>
        <w:rPr>
          <w:rFonts w:eastAsia="Times New Roman" w:cs="Times New Roman" w:ascii="Aptos Display" w:hAnsi="Aptos Display" w:asciiTheme="majorHAnsi" w:hAnsiTheme="majorHAnsi"/>
          <w:kern w:val="0"/>
          <w:vertAlign w:val="superscript"/>
          <w:lang w:val="en-GB" w:eastAsia="en-GB"/>
          <w14:ligatures w14:val="none"/>
        </w:rPr>
        <w:t>2</w:t>
      </w:r>
      <w:r>
        <w:rPr>
          <w:rFonts w:eastAsia="Times New Roman" w:cs="Times New Roman" w:ascii="Aptos Display" w:hAnsi="Aptos Display" w:asciiTheme="majorHAnsi" w:hAnsiTheme="majorHAnsi"/>
          <w:kern w:val="0"/>
          <w:lang w:val="en-GB" w:eastAsia="en-GB"/>
          <w14:ligatures w14:val="none"/>
        </w:rPr>
        <w:t>.</w:t>
      </w:r>
    </w:p>
    <w:p>
      <w:pPr>
        <w:pStyle w:val="Normal"/>
        <w:rPr>
          <w:rFonts w:ascii="Aptos Display" w:hAnsi="Aptos Display" w:eastAsia="Times New Roman" w:cs="Times New Roman" w:asciiTheme="majorHAnsi" w:hAnsiTheme="majorHAnsi"/>
          <w:kern w:val="0"/>
          <w:lang w:val="en-GB" w:eastAsia="en-GB"/>
          <w14:ligatures w14:val="none"/>
        </w:rPr>
      </w:pPr>
      <w:r>
        <w:rPr>
          <w:rFonts w:eastAsia="Times New Roman" w:cs="Times New Roman" w:ascii="Aptos Display" w:hAnsi="Aptos Display" w:asciiTheme="majorHAnsi" w:hAnsiTheme="majorHAnsi"/>
          <w:kern w:val="0"/>
          <w:lang w:val="en-GB" w:eastAsia="en-GB"/>
          <w14:ligatures w14:val="none"/>
        </w:rPr>
        <w:t xml:space="preserve">Because of ARC, patients fail to maintain protective drug levels throughout the day. When concentrations fall below the pharmacokinetic/pharmacodynamic (PK/PD) target, bacteria such as </w:t>
      </w:r>
      <w:r>
        <w:rPr>
          <w:rFonts w:eastAsia="Times New Roman" w:cs="Times New Roman" w:ascii="Aptos Display" w:hAnsi="Aptos Display" w:asciiTheme="majorHAnsi" w:hAnsiTheme="majorHAnsi"/>
          <w:i/>
          <w:iCs/>
          <w:kern w:val="0"/>
          <w:lang w:val="en-GB" w:eastAsia="en-GB"/>
          <w14:ligatures w14:val="none"/>
        </w:rPr>
        <w:t>Streptococcus pneumoniae</w:t>
      </w:r>
      <w:r>
        <w:rPr>
          <w:rFonts w:eastAsia="Times New Roman" w:cs="Times New Roman" w:ascii="Aptos Display" w:hAnsi="Aptos Display" w:asciiTheme="majorHAnsi" w:hAnsiTheme="majorHAnsi"/>
          <w:kern w:val="0"/>
          <w:lang w:val="en-GB" w:eastAsia="en-GB"/>
          <w14:ligatures w14:val="none"/>
        </w:rPr>
        <w:t xml:space="preserve"> may survive exposure, which not only compromises microbial eradication and clinical cure, but also promotes the selection of resistant strains. Researchers have shown that if cephalosporin dosing in the ICU is adapted to ARC risk, then PK/PD target attainment and the likelihood of a favorable treatment outcome increases.</w:t>
      </w:r>
    </w:p>
    <w:p>
      <w:pPr>
        <w:pStyle w:val="Normal"/>
        <w:rPr>
          <w:rFonts w:ascii="Aptos Display" w:hAnsi="Aptos Display" w:eastAsia="Times New Roman" w:cs="Times New Roman" w:asciiTheme="majorHAnsi" w:hAnsiTheme="majorHAnsi"/>
          <w:kern w:val="0"/>
          <w:lang w:val="en-GB" w:eastAsia="en-GB"/>
          <w14:ligatures w14:val="none"/>
        </w:rPr>
      </w:pPr>
      <w:r>
        <w:rPr>
          <w:rFonts w:eastAsia="Times New Roman" w:cs="Times New Roman" w:ascii="Aptos Display" w:hAnsi="Aptos Display" w:asciiTheme="majorHAnsi" w:hAnsiTheme="majorHAnsi"/>
          <w:kern w:val="0"/>
          <w:lang w:val="en-GB" w:eastAsia="en-GB"/>
          <w14:ligatures w14:val="none"/>
        </w:rPr>
        <w:t>Your company, AJARM, is developing CeftriaxPro</w:t>
      </w:r>
      <w:r>
        <w:rPr>
          <w:rStyle w:val="FootnoteReference"/>
          <w:rFonts w:eastAsia="Times New Roman" w:cs="Times New Roman" w:ascii="Aptos Display" w:hAnsi="Aptos Display" w:asciiTheme="majorHAnsi" w:hAnsiTheme="majorHAnsi"/>
          <w:kern w:val="0"/>
          <w:lang w:val="en-GB" w:eastAsia="en-GB"/>
          <w14:ligatures w14:val="none"/>
        </w:rPr>
        <w:footnoteReference w:id="4"/>
      </w:r>
      <w:r>
        <w:rPr>
          <w:rFonts w:eastAsia="Times New Roman" w:cs="Times New Roman" w:ascii="Aptos Display" w:hAnsi="Aptos Display" w:asciiTheme="majorHAnsi" w:hAnsiTheme="majorHAnsi"/>
          <w:kern w:val="0"/>
          <w:lang w:val="en-GB" w:eastAsia="en-GB"/>
          <w14:ligatures w14:val="none"/>
        </w:rPr>
        <w:t xml:space="preserve">, a novel β-lactam designed to maintain robust activity against </w:t>
      </w:r>
      <w:r>
        <w:rPr>
          <w:rFonts w:eastAsia="Times New Roman" w:cs="Times New Roman" w:ascii="Aptos Display" w:hAnsi="Aptos Display" w:asciiTheme="majorHAnsi" w:hAnsiTheme="majorHAnsi"/>
          <w:i/>
          <w:iCs/>
          <w:kern w:val="0"/>
          <w:lang w:val="en-GB" w:eastAsia="en-GB"/>
          <w14:ligatures w14:val="none"/>
        </w:rPr>
        <w:t>S. pneumoniae</w:t>
      </w:r>
      <w:r>
        <w:rPr>
          <w:rFonts w:eastAsia="Times New Roman" w:cs="Times New Roman" w:ascii="Aptos Display" w:hAnsi="Aptos Display" w:asciiTheme="majorHAnsi" w:hAnsiTheme="majorHAnsi"/>
          <w:kern w:val="0"/>
          <w:lang w:val="en-GB" w:eastAsia="en-GB"/>
          <w14:ligatures w14:val="none"/>
        </w:rPr>
        <w:t xml:space="preserve"> and reduce the likelihood of resistance development. The PBPK modelling department has shown, using animal data, that; </w:t>
      </w:r>
    </w:p>
    <w:p>
      <w:pPr>
        <w:pStyle w:val="Normal"/>
        <w:jc w:val="center"/>
        <w:rPr>
          <w:rFonts w:ascii="Aptos Display" w:hAnsi="Aptos Display" w:eastAsia="Times New Roman" w:cs="Times New Roman" w:asciiTheme="majorHAnsi" w:hAnsiTheme="majorHAnsi"/>
          <w:kern w:val="0"/>
          <w:lang w:val="en-GB" w:eastAsia="en-GB"/>
          <w14:ligatures w14:val="none"/>
        </w:rPr>
      </w:pPr>
      <w:r>
        <w:rPr>
          <w:rFonts w:eastAsia="Times New Roman" w:cs="Times New Roman" w:ascii="Aptos Display" w:hAnsi="Aptos Display" w:asciiTheme="majorHAnsi" w:hAnsiTheme="majorHAnsi"/>
          <w:kern w:val="0"/>
          <w:lang w:val="en-GB" w:eastAsia="en-GB"/>
          <w14:ligatures w14:val="none"/>
        </w:rPr>
        <w:t>[CeftriaxPro]</w:t>
      </w:r>
      <w:r>
        <w:rPr>
          <w:rFonts w:eastAsia="Times New Roman" w:cs="Times New Roman" w:ascii="Aptos Display" w:hAnsi="Aptos Display" w:asciiTheme="majorHAnsi" w:hAnsiTheme="majorHAnsi"/>
          <w:kern w:val="0"/>
          <w:vertAlign w:val="subscript"/>
          <w:lang w:val="en-GB" w:eastAsia="en-GB"/>
          <w14:ligatures w14:val="none"/>
        </w:rPr>
        <w:t>bound</w:t>
      </w:r>
      <w:r>
        <w:rPr>
          <w:rFonts w:eastAsia="Times New Roman" w:cs="Times New Roman" w:ascii="Aptos Display" w:hAnsi="Aptos Display" w:asciiTheme="majorHAnsi" w:hAnsiTheme="majorHAnsi"/>
          <w:kern w:val="0"/>
          <w:lang w:val="en-GB" w:eastAsia="en-GB"/>
          <w14:ligatures w14:val="none"/>
        </w:rPr>
        <w:t xml:space="preserve"> = [CeftriaxPro]</w:t>
      </w:r>
      <w:r>
        <w:rPr>
          <w:rFonts w:eastAsia="Times New Roman" w:cs="Times New Roman" w:ascii="Aptos Display" w:hAnsi="Aptos Display" w:asciiTheme="majorHAnsi" w:hAnsiTheme="majorHAnsi"/>
          <w:kern w:val="0"/>
          <w:vertAlign w:val="subscript"/>
          <w:lang w:val="en-GB" w:eastAsia="en-GB"/>
          <w14:ligatures w14:val="none"/>
        </w:rPr>
        <w:t>unbound</w:t>
      </w:r>
      <w:r>
        <w:rPr>
          <w:rFonts w:eastAsia="Times New Roman" w:cs="Times New Roman" w:ascii="Aptos Display" w:hAnsi="Aptos Display" w:asciiTheme="majorHAnsi" w:hAnsiTheme="majorHAnsi"/>
          <w:kern w:val="0"/>
          <w:lang w:val="en-GB" w:eastAsia="en-GB"/>
          <w14:ligatures w14:val="none"/>
        </w:rPr>
        <w:t xml:space="preserve"> </w:t>
      </w:r>
      <w:r>
        <w:rPr>
          <w:rFonts w:eastAsia="Times New Roman" w:cs="Times New Roman" w:ascii="Aptos Display" w:hAnsi="Aptos Display" w:asciiTheme="majorHAnsi" w:hAnsiTheme="majorHAnsi"/>
          <w:kern w:val="0"/>
          <w:lang w:eastAsia="en-GB"/>
          <w14:ligatures w14:val="none"/>
        </w:rPr>
        <w:t xml:space="preserve">× </w:t>
      </w:r>
      <w:r>
        <w:rPr>
          <w:rFonts w:eastAsia="Times New Roman" w:cs="Times New Roman" w:ascii="Aptos Display" w:hAnsi="Aptos Display" w:asciiTheme="majorHAnsi" w:hAnsiTheme="majorHAnsi"/>
          <w:i/>
          <w:iCs/>
          <w:kern w:val="0"/>
          <w:lang w:eastAsia="en-GB"/>
          <w14:ligatures w14:val="none"/>
        </w:rPr>
        <w:t>n</w:t>
      </w:r>
      <w:r>
        <w:rPr>
          <w:rFonts w:eastAsia="Times New Roman" w:cs="Times New Roman" w:ascii="Aptos Display" w:hAnsi="Aptos Display" w:asciiTheme="majorHAnsi" w:hAnsiTheme="majorHAnsi"/>
          <w:kern w:val="0"/>
          <w:lang w:val="en-GB" w:eastAsia="en-GB"/>
          <w14:ligatures w14:val="none"/>
        </w:rPr>
        <w:t xml:space="preserve"> </w:t>
      </w:r>
      <w:r>
        <w:rPr>
          <w:rFonts w:eastAsia="Times New Roman" w:cs="Times New Roman" w:ascii="Aptos Display" w:hAnsi="Aptos Display" w:asciiTheme="majorHAnsi" w:hAnsiTheme="majorHAnsi"/>
          <w:kern w:val="0"/>
          <w:lang w:eastAsia="en-GB"/>
          <w14:ligatures w14:val="none"/>
        </w:rPr>
        <w:t>×</w:t>
      </w:r>
      <w:r>
        <w:rPr>
          <w:rFonts w:eastAsia="Times New Roman" w:cs="Times New Roman" w:ascii="Aptos Display" w:hAnsi="Aptos Display" w:asciiTheme="majorHAnsi" w:hAnsiTheme="majorHAnsi"/>
          <w:kern w:val="0"/>
          <w:lang w:val="en-GB" w:eastAsia="en-GB"/>
          <w14:ligatures w14:val="none"/>
        </w:rPr>
        <w:t xml:space="preserve"> [ALB] </w:t>
      </w:r>
      <w:r>
        <w:rPr>
          <w:rFonts w:eastAsia="Times New Roman" w:cs="Times New Roman" w:ascii="Aptos Display" w:hAnsi="Aptos Display" w:asciiTheme="majorHAnsi" w:hAnsiTheme="majorHAnsi"/>
          <w:kern w:val="0"/>
          <w:lang w:eastAsia="en-GB"/>
          <w14:ligatures w14:val="none"/>
        </w:rPr>
        <w:t xml:space="preserve">× </w:t>
      </w:r>
      <w:r>
        <w:rPr>
          <w:rFonts w:eastAsia="Times New Roman" w:cs="Times New Roman" w:ascii="Aptos Display" w:hAnsi="Aptos Display" w:asciiTheme="majorHAnsi" w:hAnsiTheme="majorHAnsi"/>
          <w:kern w:val="0"/>
          <w:sz w:val="26"/>
          <w:szCs w:val="26"/>
          <w:lang w:val="en-GB" w:eastAsia="en-GB"/>
          <w14:ligatures w14:val="none"/>
        </w:rPr>
        <w:t>{</w:t>
      </w:r>
      <w:r>
        <w:rPr>
          <w:rFonts w:eastAsia="Times New Roman" w:cs="Times New Roman" w:ascii="Aptos Display" w:hAnsi="Aptos Display" w:asciiTheme="majorHAnsi" w:hAnsiTheme="majorHAnsi"/>
          <w:kern w:val="0"/>
          <w:lang w:val="en-GB" w:eastAsia="en-GB"/>
          <w14:ligatures w14:val="none"/>
        </w:rPr>
        <w:t>K</w:t>
      </w:r>
      <w:r>
        <w:rPr>
          <w:rFonts w:eastAsia="Times New Roman" w:cs="Times New Roman" w:ascii="Aptos Display" w:hAnsi="Aptos Display" w:asciiTheme="majorHAnsi" w:hAnsiTheme="majorHAnsi"/>
          <w:kern w:val="0"/>
          <w:vertAlign w:val="subscript"/>
          <w:lang w:val="en-GB" w:eastAsia="en-GB"/>
          <w14:ligatures w14:val="none"/>
        </w:rPr>
        <w:t>d</w:t>
      </w:r>
      <w:r>
        <w:rPr>
          <w:rFonts w:eastAsia="Times New Roman" w:cs="Times New Roman" w:ascii="Aptos Display" w:hAnsi="Aptos Display" w:asciiTheme="majorHAnsi" w:hAnsiTheme="majorHAnsi"/>
          <w:kern w:val="0"/>
          <w:lang w:val="en-GB" w:eastAsia="en-GB"/>
          <w14:ligatures w14:val="none"/>
        </w:rPr>
        <w:t xml:space="preserve"> + [CeftriaxPro]</w:t>
      </w:r>
      <w:r>
        <w:rPr>
          <w:rFonts w:eastAsia="Times New Roman" w:cs="Times New Roman" w:ascii="Aptos Display" w:hAnsi="Aptos Display" w:asciiTheme="majorHAnsi" w:hAnsiTheme="majorHAnsi"/>
          <w:kern w:val="0"/>
          <w:vertAlign w:val="subscript"/>
          <w:lang w:val="en-GB" w:eastAsia="en-GB"/>
          <w14:ligatures w14:val="none"/>
        </w:rPr>
        <w:t>unbound</w:t>
      </w:r>
      <w:r>
        <w:rPr>
          <w:rFonts w:eastAsia="Times New Roman" w:cs="Times New Roman" w:ascii="Aptos Display" w:hAnsi="Aptos Display" w:asciiTheme="majorHAnsi" w:hAnsiTheme="majorHAnsi"/>
          <w:kern w:val="0"/>
          <w:lang w:val="en-GB" w:eastAsia="en-GB"/>
          <w14:ligatures w14:val="none"/>
        </w:rPr>
        <w:t xml:space="preserve"> </w:t>
      </w:r>
      <w:r>
        <w:rPr>
          <w:rFonts w:eastAsia="Times New Roman" w:cs="Times New Roman" w:ascii="Aptos Display" w:hAnsi="Aptos Display" w:asciiTheme="majorHAnsi" w:hAnsiTheme="majorHAnsi"/>
          <w:kern w:val="0"/>
          <w:sz w:val="26"/>
          <w:szCs w:val="26"/>
          <w:lang w:val="en-GB" w:eastAsia="en-GB"/>
          <w14:ligatures w14:val="none"/>
        </w:rPr>
        <w:t>}</w:t>
      </w:r>
      <w:r>
        <w:rPr>
          <w:rFonts w:eastAsia="Times New Roman" w:cs="Times New Roman" w:ascii="Aptos Display" w:hAnsi="Aptos Display" w:asciiTheme="majorHAnsi" w:hAnsiTheme="majorHAnsi"/>
          <w:b/>
          <w:bCs/>
          <w:kern w:val="0"/>
          <w:sz w:val="28"/>
          <w:szCs w:val="28"/>
          <w:vertAlign w:val="superscript"/>
          <w:lang w:eastAsia="en-GB"/>
          <w14:ligatures w14:val="none"/>
        </w:rPr>
        <w:t>-1</w:t>
      </w:r>
      <w:r>
        <w:rPr>
          <w:rFonts w:eastAsia="Times New Roman" w:cs="Times New Roman" w:ascii="Aptos Display" w:hAnsi="Aptos Display" w:asciiTheme="majorHAnsi" w:hAnsiTheme="majorHAnsi"/>
          <w:kern w:val="0"/>
          <w:lang w:val="en-GB" w:eastAsia="en-GB"/>
          <w14:ligatures w14:val="none"/>
        </w:rPr>
        <w:t xml:space="preserve"> </w:t>
      </w:r>
    </w:p>
    <w:p>
      <w:pPr>
        <w:pStyle w:val="Normal"/>
        <w:rPr>
          <w:rFonts w:ascii="Aptos Display" w:hAnsi="Aptos Display" w:eastAsia="Times New Roman" w:cs="Times New Roman" w:asciiTheme="majorHAnsi" w:hAnsiTheme="majorHAnsi"/>
          <w:kern w:val="0"/>
          <w:lang w:val="en-GB" w:eastAsia="en-GB"/>
          <w14:ligatures w14:val="none"/>
        </w:rPr>
      </w:pPr>
      <w:r>
        <w:rPr>
          <w:rFonts w:eastAsia="Times New Roman" w:cs="Times New Roman" w:ascii="Aptos Display" w:hAnsi="Aptos Display" w:asciiTheme="majorHAnsi" w:hAnsiTheme="majorHAnsi"/>
          <w:kern w:val="0"/>
          <w:lang w:eastAsia="en-GB"/>
          <w14:ligatures w14:val="none"/>
        </w:rPr>
        <w:t xml:space="preserve">Where </w:t>
      </w:r>
      <w:r>
        <w:rPr>
          <w:rFonts w:eastAsia="Times New Roman" w:cs="Times New Roman" w:ascii="Aptos Display" w:hAnsi="Aptos Display" w:asciiTheme="majorHAnsi" w:hAnsiTheme="majorHAnsi"/>
          <w:kern w:val="0"/>
          <w:lang w:val="en-GB" w:eastAsia="en-GB"/>
          <w14:ligatures w14:val="none"/>
        </w:rPr>
        <w:t>[CeftriaxPro]</w:t>
      </w:r>
      <w:r>
        <w:rPr>
          <w:rFonts w:eastAsia="Times New Roman" w:cs="Times New Roman" w:ascii="Aptos Display" w:hAnsi="Aptos Display" w:asciiTheme="majorHAnsi" w:hAnsiTheme="majorHAnsi"/>
          <w:kern w:val="0"/>
          <w:vertAlign w:val="subscript"/>
          <w:lang w:val="en-GB" w:eastAsia="en-GB"/>
          <w14:ligatures w14:val="none"/>
        </w:rPr>
        <w:t xml:space="preserve">bound  </w:t>
      </w:r>
      <w:r>
        <w:rPr>
          <w:rFonts w:eastAsia="Times New Roman" w:cs="Times New Roman" w:ascii="Aptos Display" w:hAnsi="Aptos Display" w:asciiTheme="majorHAnsi" w:hAnsiTheme="majorHAnsi"/>
          <w:kern w:val="0"/>
          <w:lang w:eastAsia="en-GB"/>
          <w14:ligatures w14:val="none"/>
        </w:rPr>
        <w:t xml:space="preserve">is the molar concentration of protein-bound (pharmacologically inactive) </w:t>
      </w:r>
      <w:r>
        <w:rPr>
          <w:rFonts w:eastAsia="Times New Roman" w:cs="Times New Roman" w:ascii="Aptos Display" w:hAnsi="Aptos Display" w:asciiTheme="majorHAnsi" w:hAnsiTheme="majorHAnsi"/>
          <w:kern w:val="0"/>
          <w:lang w:val="en-GB" w:eastAsia="en-GB"/>
          <w14:ligatures w14:val="none"/>
        </w:rPr>
        <w:t>CeftriaxPro, [CeftriaxPro]</w:t>
      </w:r>
      <w:r>
        <w:rPr>
          <w:rFonts w:eastAsia="Times New Roman" w:cs="Times New Roman" w:ascii="Aptos Display" w:hAnsi="Aptos Display" w:asciiTheme="majorHAnsi" w:hAnsiTheme="majorHAnsi"/>
          <w:kern w:val="0"/>
          <w:vertAlign w:val="subscript"/>
          <w:lang w:val="en-GB" w:eastAsia="en-GB"/>
          <w14:ligatures w14:val="none"/>
        </w:rPr>
        <w:t>unbound</w:t>
      </w:r>
      <w:r>
        <w:rPr>
          <w:rFonts w:eastAsia="Times New Roman" w:cs="Times New Roman" w:ascii="Aptos Display" w:hAnsi="Aptos Display" w:asciiTheme="majorHAnsi" w:hAnsiTheme="majorHAnsi"/>
          <w:kern w:val="0"/>
          <w:lang w:val="en-GB" w:eastAsia="en-GB"/>
          <w14:ligatures w14:val="none"/>
        </w:rPr>
        <w:t xml:space="preserve"> is the concentration of protein-unbound (pharmacologically active) CeftriaxPro, </w:t>
      </w:r>
      <w:r>
        <w:rPr>
          <w:rFonts w:eastAsia="Times New Roman" w:cs="Times New Roman" w:ascii="Aptos Display" w:hAnsi="Aptos Display" w:asciiTheme="majorHAnsi" w:hAnsiTheme="majorHAnsi"/>
          <w:i/>
          <w:iCs/>
          <w:kern w:val="0"/>
          <w:lang w:val="en-GB" w:eastAsia="en-GB"/>
          <w14:ligatures w14:val="none"/>
        </w:rPr>
        <w:t>n is</w:t>
      </w:r>
      <w:r>
        <w:rPr>
          <w:rFonts w:eastAsia="Times New Roman" w:cs="Times New Roman" w:ascii="Aptos Display" w:hAnsi="Aptos Display" w:asciiTheme="majorHAnsi" w:hAnsiTheme="majorHAnsi"/>
          <w:kern w:val="0"/>
          <w:lang w:val="en-GB" w:eastAsia="en-GB"/>
          <w14:ligatures w14:val="none"/>
        </w:rPr>
        <w:t xml:space="preserve"> the number of binding sites per plasma protein molecule, [ALB] is the total serum albumin </w:t>
      </w:r>
      <w:r>
        <w:rPr>
          <w:rFonts w:eastAsia="Times New Roman" w:cs="Times New Roman" w:ascii="Aptos Display" w:hAnsi="Aptos Display" w:asciiTheme="majorHAnsi" w:hAnsiTheme="majorHAnsi"/>
          <w:kern w:val="0"/>
          <w:lang w:eastAsia="en-GB"/>
          <w14:ligatures w14:val="none"/>
        </w:rPr>
        <w:t xml:space="preserve">molar </w:t>
      </w:r>
      <w:r>
        <w:rPr>
          <w:rFonts w:eastAsia="Times New Roman" w:cs="Times New Roman" w:ascii="Aptos Display" w:hAnsi="Aptos Display" w:asciiTheme="majorHAnsi" w:hAnsiTheme="majorHAnsi"/>
          <w:kern w:val="0"/>
          <w:lang w:val="en-GB" w:eastAsia="en-GB"/>
          <w14:ligatures w14:val="none"/>
        </w:rPr>
        <w:t>concentration, and K</w:t>
      </w:r>
      <w:r>
        <w:rPr>
          <w:rFonts w:eastAsia="Times New Roman" w:cs="Times New Roman" w:ascii="Aptos Display" w:hAnsi="Aptos Display" w:asciiTheme="majorHAnsi" w:hAnsiTheme="majorHAnsi"/>
          <w:kern w:val="0"/>
          <w:vertAlign w:val="subscript"/>
          <w:lang w:val="en-GB" w:eastAsia="en-GB"/>
          <w14:ligatures w14:val="none"/>
        </w:rPr>
        <w:t>d</w:t>
      </w:r>
      <w:r>
        <w:rPr>
          <w:rFonts w:eastAsia="Times New Roman" w:cs="Times New Roman" w:ascii="Aptos Display" w:hAnsi="Aptos Display" w:asciiTheme="majorHAnsi" w:hAnsiTheme="majorHAnsi"/>
          <w:kern w:val="0"/>
          <w:lang w:val="en-GB" w:eastAsia="en-GB"/>
          <w14:ligatures w14:val="none"/>
        </w:rPr>
        <w:t xml:space="preserve"> the dissociation rate constant of ceftriaxone from serum protein.</w:t>
      </w:r>
    </w:p>
    <w:p>
      <w:pPr>
        <w:pStyle w:val="Normal"/>
        <w:rPr>
          <w:rFonts w:ascii="Aptos Display" w:hAnsi="Aptos Display" w:eastAsia="Times New Roman" w:cs="Times New Roman" w:asciiTheme="majorHAnsi" w:hAnsiTheme="majorHAnsi"/>
          <w:kern w:val="0"/>
          <w:lang w:val="en-GB" w:eastAsia="en-GB"/>
          <w14:ligatures w14:val="none"/>
        </w:rPr>
      </w:pPr>
      <w:r>
        <w:rPr>
          <w:rFonts w:eastAsia="Times New Roman" w:cs="Times New Roman" w:ascii="Aptos Display" w:hAnsi="Aptos Display" w:asciiTheme="majorHAnsi" w:hAnsiTheme="majorHAnsi"/>
          <w:kern w:val="0"/>
          <w:lang w:val="en-GB" w:eastAsia="en-GB"/>
          <w14:ligatures w14:val="none"/>
        </w:rPr>
        <w:t xml:space="preserve">The Phase 2 Study (CeftriaxPro-002) is completed. </w:t>
      </w:r>
      <w:r>
        <w:rPr>
          <w:rFonts w:eastAsia="Times New Roman" w:cs="Times New Roman" w:hint="eastAsia" w:ascii="Aptos Display" w:hAnsi="Aptos Display" w:asciiTheme="majorHAnsi" w:hAnsiTheme="majorHAnsi"/>
          <w:kern w:val="0"/>
          <w:lang w:eastAsia="en-GB"/>
          <w14:ligatures w14:val="none"/>
        </w:rPr>
        <w:t>Adults (≥18 years) with confirmed CAP were randomized (1:1:1) to receive 1 g, 2 g, or 4 g once daily by IV infusion at a fixed rate, with a maximum infusion time of 30 minutes, for up to 14 days.</w:t>
      </w:r>
      <w:r>
        <w:rPr>
          <w:rFonts w:eastAsia="Times New Roman" w:cs="Times New Roman" w:ascii="Aptos Display" w:hAnsi="Aptos Display" w:asciiTheme="majorHAnsi" w:hAnsiTheme="majorHAnsi"/>
          <w:kern w:val="0"/>
          <w:lang w:eastAsia="en-GB"/>
          <w14:ligatures w14:val="none"/>
        </w:rPr>
        <w:t xml:space="preserve"> </w:t>
      </w:r>
      <w:r>
        <w:rPr>
          <w:rFonts w:eastAsia="Times New Roman" w:cs="Times New Roman" w:ascii="Aptos Display" w:hAnsi="Aptos Display" w:asciiTheme="majorHAnsi" w:hAnsiTheme="majorHAnsi"/>
          <w:kern w:val="0"/>
          <w:lang w:val="en-GB" w:eastAsia="en-GB"/>
          <w14:ligatures w14:val="none"/>
        </w:rPr>
        <w:t>The primary endpoint was clinical cure on Day 14 (resolution of pneumonia symptoms without need for additional antibiotics).</w:t>
      </w:r>
    </w:p>
    <w:p>
      <w:pPr>
        <w:pStyle w:val="Normal"/>
        <w:rPr>
          <w:rFonts w:ascii="Aptos Display" w:hAnsi="Aptos Display" w:eastAsia="Times New Roman" w:cs="Times New Roman" w:asciiTheme="majorHAnsi" w:hAnsiTheme="majorHAnsi"/>
          <w:kern w:val="0"/>
          <w:lang w:val="en-GB" w:eastAsia="en-GB"/>
          <w14:ligatures w14:val="none"/>
        </w:rPr>
      </w:pPr>
      <w:r>
        <w:rPr/>
        <w:t>You are responsible for performing the population pharmacokinetics and exposure–response analyses. The main objectives are</w:t>
      </w:r>
    </w:p>
    <w:p>
      <w:pPr>
        <w:pStyle w:val="ListParagraph"/>
        <w:numPr>
          <w:ilvl w:val="0"/>
          <w:numId w:val="5"/>
        </w:numPr>
        <w:rPr/>
      </w:pPr>
      <w:r>
        <w:rPr/>
        <w:t xml:space="preserve">to describe the </w:t>
      </w:r>
      <w:r>
        <w:rPr>
          <w:b/>
          <w:bCs/>
        </w:rPr>
        <w:t>population pharmacokinetics</w:t>
      </w:r>
      <w:r>
        <w:rPr/>
        <w:t xml:space="preserve"> of CeftriaxPro.</w:t>
      </w:r>
    </w:p>
    <w:p>
      <w:pPr>
        <w:pStyle w:val="ListParagraph"/>
        <w:numPr>
          <w:ilvl w:val="0"/>
          <w:numId w:val="5"/>
        </w:numPr>
        <w:rPr/>
      </w:pPr>
      <w:r>
        <w:rPr/>
        <w:t xml:space="preserve">to evaluate the impact of </w:t>
      </w:r>
      <w:r>
        <w:rPr>
          <w:b/>
          <w:bCs/>
        </w:rPr>
        <w:t>key covariates</w:t>
      </w:r>
      <w:r>
        <w:rPr/>
        <w:t xml:space="preserve"> on ceftriaxPro exposure.</w:t>
      </w:r>
    </w:p>
    <w:p>
      <w:pPr>
        <w:pStyle w:val="ListParagraph"/>
        <w:numPr>
          <w:ilvl w:val="0"/>
          <w:numId w:val="5"/>
        </w:numPr>
        <w:rPr/>
      </w:pPr>
      <w:r>
        <w:rPr/>
        <w:t>to explore the impact of ceftriaxPro exposure metrics on</w:t>
      </w:r>
      <w:r>
        <w:rPr>
          <w:b/>
          <w:bCs/>
        </w:rPr>
        <w:t xml:space="preserve"> clinical response</w:t>
      </w:r>
      <w:r>
        <w:rPr/>
        <w:t>.</w:t>
      </w:r>
    </w:p>
    <w:p>
      <w:pPr>
        <w:pStyle w:val="ListParagraph"/>
        <w:numPr>
          <w:ilvl w:val="0"/>
          <w:numId w:val="5"/>
        </w:numPr>
        <w:rPr/>
      </w:pPr>
      <w:r>
        <w:rPr/>
        <w:t xml:space="preserve">to utilize the population pharmacokinetics model and exposure–response model to </w:t>
      </w:r>
      <w:r>
        <w:rPr>
          <w:b/>
          <w:bCs/>
        </w:rPr>
        <w:t>simulate</w:t>
      </w:r>
      <w:r>
        <w:rPr/>
        <w:t xml:space="preserve"> potential dosing regimens considered for the planned Phase 3 study ceftriaxPro -003.</w:t>
      </w:r>
    </w:p>
    <w:p>
      <w:pPr>
        <w:pStyle w:val="Heading1"/>
        <w:ind w:hanging="567" w:start="567"/>
        <w:rPr/>
      </w:pPr>
      <w:r>
        <w:rPr/>
        <w:t>Data File</w:t>
      </w:r>
    </w:p>
    <w:p>
      <w:pPr>
        <w:pStyle w:val="ListParagraph"/>
        <w:numPr>
          <w:ilvl w:val="0"/>
          <w:numId w:val="2"/>
        </w:numPr>
        <w:rPr/>
      </w:pPr>
      <w:r>
        <w:rPr/>
        <w:t>CSV file: IW2_Dataset_003_2526.txt</w:t>
      </w:r>
    </w:p>
    <w:p>
      <w:pPr>
        <w:pStyle w:val="ListParagraph"/>
        <w:numPr>
          <w:ilvl w:val="0"/>
          <w:numId w:val="2"/>
        </w:numPr>
        <w:rPr/>
      </w:pPr>
      <w:r>
        <w:rPr/>
        <w:t>Variables:</w:t>
      </w:r>
    </w:p>
    <w:p>
      <w:pPr>
        <w:pStyle w:val="ListParagraph"/>
        <w:numPr>
          <w:ilvl w:val="1"/>
          <w:numId w:val="2"/>
        </w:numPr>
        <w:jc w:val="start"/>
        <w:rPr/>
      </w:pPr>
      <w:bookmarkStart w:id="0" w:name="_Hlk203651245"/>
      <w:r>
        <w:rPr/>
        <w:t>ID: patient identification number</w:t>
      </w:r>
    </w:p>
    <w:p>
      <w:pPr>
        <w:pStyle w:val="ListParagraph"/>
        <w:numPr>
          <w:ilvl w:val="1"/>
          <w:numId w:val="2"/>
        </w:numPr>
        <w:jc w:val="start"/>
        <w:rPr/>
      </w:pPr>
      <w:r>
        <w:rPr/>
        <w:t>TIME: time since first dose (in hours)</w:t>
      </w:r>
    </w:p>
    <w:p>
      <w:pPr>
        <w:pStyle w:val="ListParagraph"/>
        <w:numPr>
          <w:ilvl w:val="1"/>
          <w:numId w:val="2"/>
        </w:numPr>
        <w:jc w:val="start"/>
        <w:rPr>
          <w:lang w:val="de-DE"/>
        </w:rPr>
      </w:pPr>
      <w:r>
        <w:rPr>
          <w:lang w:val="de-DE"/>
        </w:rPr>
        <w:t xml:space="preserve">DOSE: </w:t>
      </w:r>
      <w:r>
        <w:rPr/>
        <w:t xml:space="preserve">ceftriaxPro </w:t>
      </w:r>
      <w:r>
        <w:rPr>
          <w:lang w:val="de-DE"/>
        </w:rPr>
        <w:t>dose (in mmol)</w:t>
      </w:r>
    </w:p>
    <w:p>
      <w:pPr>
        <w:pStyle w:val="ListParagraph"/>
        <w:numPr>
          <w:ilvl w:val="1"/>
          <w:numId w:val="2"/>
        </w:numPr>
        <w:jc w:val="start"/>
        <w:rPr>
          <w:lang w:val="de-DE"/>
        </w:rPr>
      </w:pPr>
      <w:r>
        <w:rPr>
          <w:lang w:val="de-DE"/>
        </w:rPr>
        <w:t xml:space="preserve">RATE: </w:t>
      </w:r>
      <w:r>
        <w:rPr/>
        <w:t xml:space="preserve">ceftriaxPro </w:t>
      </w:r>
      <w:r>
        <w:rPr>
          <w:lang w:val="de-DE"/>
        </w:rPr>
        <w:t>infusion rate (mmol/hour)</w:t>
      </w:r>
    </w:p>
    <w:p>
      <w:pPr>
        <w:pStyle w:val="ListParagraph"/>
        <w:numPr>
          <w:ilvl w:val="1"/>
          <w:numId w:val="2"/>
        </w:numPr>
        <w:jc w:val="start"/>
        <w:rPr>
          <w:lang w:val="de-DE"/>
        </w:rPr>
      </w:pPr>
      <w:r>
        <w:rPr>
          <w:lang w:val="de-DE"/>
        </w:rPr>
        <w:t>CONC</w:t>
      </w:r>
      <w:r>
        <w:rPr>
          <w:rStyle w:val="FootnoteReference"/>
          <w:lang w:val="de-DE"/>
        </w:rPr>
        <w:footnoteReference w:id="5"/>
      </w:r>
      <w:r>
        <w:rPr>
          <w:lang w:val="de-DE"/>
        </w:rPr>
        <w:t xml:space="preserve"> : </w:t>
      </w:r>
      <w:r>
        <w:rPr/>
        <w:t>ceftriaxPro plasma concentration (</w:t>
      </w:r>
      <w:r>
        <w:rPr>
          <w:lang w:val="de-DE"/>
        </w:rPr>
        <w:t xml:space="preserve">mmol/L) </w:t>
      </w:r>
    </w:p>
    <w:p>
      <w:pPr>
        <w:pStyle w:val="ListParagraph"/>
        <w:numPr>
          <w:ilvl w:val="1"/>
          <w:numId w:val="2"/>
        </w:numPr>
        <w:jc w:val="start"/>
        <w:rPr>
          <w:lang w:val="de-DE"/>
        </w:rPr>
      </w:pPr>
      <w:r>
        <w:rPr>
          <w:lang w:val="de-DE"/>
        </w:rPr>
        <w:t xml:space="preserve">CONC_ID: </w:t>
      </w:r>
      <w:r>
        <w:rPr/>
        <w:t>ceftriaxPro</w:t>
      </w:r>
      <w:r>
        <w:rPr>
          <w:lang w:val="de-DE"/>
        </w:rPr>
        <w:t xml:space="preserve"> concentration identification (1=total, 2=unbound)</w:t>
      </w:r>
    </w:p>
    <w:p>
      <w:pPr>
        <w:pStyle w:val="ListParagraph"/>
        <w:numPr>
          <w:ilvl w:val="1"/>
          <w:numId w:val="2"/>
        </w:numPr>
        <w:jc w:val="start"/>
        <w:rPr/>
      </w:pPr>
      <w:r>
        <w:rPr/>
        <w:t>BW: body weight (in kg)</w:t>
      </w:r>
    </w:p>
    <w:p>
      <w:pPr>
        <w:pStyle w:val="ListParagraph"/>
        <w:numPr>
          <w:ilvl w:val="1"/>
          <w:numId w:val="2"/>
        </w:numPr>
        <w:jc w:val="start"/>
        <w:rPr/>
      </w:pPr>
      <w:r>
        <w:rPr/>
        <w:t>SEX: sex (0=male, 1=female)</w:t>
      </w:r>
    </w:p>
    <w:p>
      <w:pPr>
        <w:pStyle w:val="ListParagraph"/>
        <w:numPr>
          <w:ilvl w:val="1"/>
          <w:numId w:val="2"/>
        </w:numPr>
        <w:jc w:val="start"/>
        <w:rPr>
          <w:lang w:val="de-DE"/>
        </w:rPr>
      </w:pPr>
      <w:r>
        <w:rPr>
          <w:lang w:val="de-DE"/>
        </w:rPr>
        <w:t>ALB: serum albumin (in mmol/L)</w:t>
      </w:r>
      <w:r>
        <w:rPr>
          <w:rStyle w:val="FootnoteReference"/>
          <w:lang w:val="de-DE"/>
        </w:rPr>
        <w:footnoteReference w:id="6"/>
      </w:r>
    </w:p>
    <w:p>
      <w:pPr>
        <w:pStyle w:val="ListParagraph"/>
        <w:numPr>
          <w:ilvl w:val="1"/>
          <w:numId w:val="2"/>
        </w:numPr>
        <w:jc w:val="start"/>
        <w:rPr/>
      </w:pPr>
      <w:r>
        <w:rPr/>
        <w:t>SCR: serum creatinine (in mg/dL)</w:t>
      </w:r>
    </w:p>
    <w:p>
      <w:pPr>
        <w:pStyle w:val="ListParagraph"/>
        <w:numPr>
          <w:ilvl w:val="1"/>
          <w:numId w:val="2"/>
        </w:numPr>
        <w:jc w:val="start"/>
        <w:rPr/>
      </w:pPr>
      <w:r>
        <w:rPr>
          <w:rFonts w:eastAsia="Times New Roman" w:cs="Times New Roman" w:ascii="Aptos Display" w:hAnsi="Aptos Display" w:asciiTheme="majorHAnsi" w:hAnsiTheme="majorHAnsi"/>
          <w:kern w:val="0"/>
          <w:lang w:val="en-GB" w:eastAsia="en-GB"/>
          <w14:ligatures w14:val="none"/>
        </w:rPr>
        <w:t>eGFR: glomerular filtration rate (in mL/min/1.73 m</w:t>
      </w:r>
      <w:r>
        <w:rPr>
          <w:rFonts w:eastAsia="Times New Roman" w:cs="Times New Roman" w:ascii="Aptos Display" w:hAnsi="Aptos Display" w:asciiTheme="majorHAnsi" w:hAnsiTheme="majorHAnsi"/>
          <w:kern w:val="0"/>
          <w:vertAlign w:val="superscript"/>
          <w:lang w:val="en-GB" w:eastAsia="en-GB"/>
          <w14:ligatures w14:val="none"/>
        </w:rPr>
        <w:t>2</w:t>
      </w:r>
      <w:r>
        <w:rPr>
          <w:rFonts w:eastAsia="Times New Roman" w:cs="Times New Roman" w:ascii="Aptos Display" w:hAnsi="Aptos Display" w:asciiTheme="majorHAnsi" w:hAnsiTheme="majorHAnsi"/>
          <w:kern w:val="0"/>
          <w:lang w:val="en-GB" w:eastAsia="en-GB"/>
          <w14:ligatures w14:val="none"/>
        </w:rPr>
        <w:t>)</w:t>
      </w:r>
    </w:p>
    <w:p>
      <w:pPr>
        <w:pStyle w:val="ListParagraph"/>
        <w:numPr>
          <w:ilvl w:val="1"/>
          <w:numId w:val="2"/>
        </w:numPr>
        <w:jc w:val="start"/>
        <w:rPr/>
      </w:pPr>
      <w:r>
        <w:rPr/>
        <w:t>AGE: age (in years)</w:t>
      </w:r>
    </w:p>
    <w:p>
      <w:pPr>
        <w:pStyle w:val="ListParagraph"/>
        <w:numPr>
          <w:ilvl w:val="1"/>
          <w:numId w:val="2"/>
        </w:numPr>
        <w:jc w:val="start"/>
        <w:rPr/>
      </w:pPr>
      <w:r>
        <w:rPr/>
        <w:t>ETHNI: ethnicity (1=black/ african american, 2=asian, 3=white, 4=other)</w:t>
      </w:r>
    </w:p>
    <w:p>
      <w:pPr>
        <w:pStyle w:val="ListParagraph"/>
        <w:numPr>
          <w:ilvl w:val="1"/>
          <w:numId w:val="2"/>
        </w:numPr>
        <w:jc w:val="start"/>
        <w:rPr/>
      </w:pPr>
      <w:r>
        <w:rPr/>
        <w:t xml:space="preserve">PR: </w:t>
      </w:r>
      <w:r>
        <w:rPr>
          <w:rFonts w:eastAsia="Times New Roman" w:cs="Times New Roman" w:ascii="Aptos Display" w:hAnsi="Aptos Display" w:asciiTheme="majorHAnsi" w:hAnsiTheme="majorHAnsi"/>
          <w:kern w:val="0"/>
          <w:lang w:val="en-GB" w:eastAsia="en-GB"/>
          <w14:ligatures w14:val="none"/>
        </w:rPr>
        <w:t xml:space="preserve">pneumonia </w:t>
      </w:r>
      <w:r>
        <w:rPr/>
        <w:t>remission at day 14 (0=no, 1=yes)</w:t>
      </w:r>
      <w:bookmarkEnd w:id="0"/>
    </w:p>
    <w:p>
      <w:pPr>
        <w:pStyle w:val="ListParagraph"/>
        <w:ind w:start="1440"/>
        <w:rPr/>
      </w:pPr>
      <w:r>
        <w:rPr/>
      </w:r>
    </w:p>
    <w:p>
      <w:pPr>
        <w:pStyle w:val="Heading1"/>
        <w:ind w:hanging="567" w:start="567"/>
        <w:rPr/>
      </w:pPr>
      <w:r>
        <w:rPr/>
        <w:t>Guidance</w:t>
      </w:r>
    </w:p>
    <w:p>
      <w:pPr>
        <w:pStyle w:val="ListParagraph"/>
        <w:numPr>
          <w:ilvl w:val="0"/>
          <w:numId w:val="3"/>
        </w:numPr>
        <w:rPr/>
      </w:pPr>
      <w:r>
        <w:rPr/>
        <w:t xml:space="preserve">Describe the </w:t>
      </w:r>
      <w:r>
        <w:rPr>
          <w:b/>
          <w:bCs/>
        </w:rPr>
        <w:t>data</w:t>
      </w:r>
      <w:r>
        <w:rPr/>
        <w:t xml:space="preserve"> and use graphical and numerical techniques to explore the structure of the data. Summarize your conclusions. What are the implications for modeling? (use R)</w:t>
      </w:r>
    </w:p>
    <w:p>
      <w:pPr>
        <w:pStyle w:val="ListParagraph"/>
        <w:numPr>
          <w:ilvl w:val="0"/>
          <w:numId w:val="3"/>
        </w:numPr>
        <w:rPr/>
      </w:pPr>
      <w:r>
        <w:rPr/>
        <w:t xml:space="preserve">Formulate a plausible nonlinear mixed-effects </w:t>
      </w:r>
      <w:r>
        <w:rPr>
          <w:b/>
          <w:bCs/>
        </w:rPr>
        <w:t>population pharmacokinetics model</w:t>
      </w:r>
      <w:r>
        <w:rPr/>
        <w:t>. Check the appropriateness of your model. Perform a covariate search. What is the most parsimonious model structure you can find? Evaluate the model (residuals, calibration, etc.). Calculate the subject-specific pharmacokinetics parameters and compare them with the ones obtained from the two-stage analysis. What can you conclude? Interpret the model parameters in terms of the underlying mechanisms.</w:t>
      </w:r>
    </w:p>
    <w:p>
      <w:pPr>
        <w:pStyle w:val="ListParagraph"/>
        <w:numPr>
          <w:ilvl w:val="0"/>
          <w:numId w:val="3"/>
        </w:numPr>
        <w:rPr/>
      </w:pPr>
      <w:r>
        <w:rPr/>
        <w:t xml:space="preserve">Explore </w:t>
      </w:r>
      <w:r>
        <w:rPr>
          <w:b/>
          <w:bCs/>
        </w:rPr>
        <w:t>exposure–response</w:t>
      </w:r>
      <w:r>
        <w:rPr/>
        <w:t xml:space="preserve"> relationships. Develop an exposure–response model.</w:t>
      </w:r>
    </w:p>
    <w:p>
      <w:pPr>
        <w:pStyle w:val="ListParagraph"/>
        <w:numPr>
          <w:ilvl w:val="0"/>
          <w:numId w:val="3"/>
        </w:numPr>
        <w:rPr/>
      </w:pPr>
      <w:r>
        <w:rPr/>
        <w:t xml:space="preserve">Perform a simulation study utilizing your population pharmacokinetics model and exposure–response model to derive relevant </w:t>
      </w:r>
      <w:r>
        <w:rPr>
          <w:b/>
          <w:bCs/>
        </w:rPr>
        <w:t>conclusions</w:t>
      </w:r>
      <w:r>
        <w:rPr/>
        <w:t xml:space="preserve"> for the planned Phase 3 study.</w:t>
      </w:r>
    </w:p>
    <w:p>
      <w:pPr>
        <w:pStyle w:val="Heading1"/>
        <w:ind w:hanging="567" w:start="567"/>
        <w:rPr/>
      </w:pPr>
      <w:r>
        <w:rPr/>
        <w:t>General Remarks for the Team Report</w:t>
      </w:r>
    </w:p>
    <w:p>
      <w:pPr>
        <w:pStyle w:val="ListParagraph"/>
        <w:numPr>
          <w:ilvl w:val="0"/>
          <w:numId w:val="4"/>
        </w:numPr>
        <w:rPr/>
      </w:pPr>
      <w:r>
        <w:rPr/>
        <w:t>You are free to use any tool(s) you want, as long as they “do the proper job”! It is mandatory to present relevant software code in an appendix to the report.</w:t>
      </w:r>
    </w:p>
    <w:p>
      <w:pPr>
        <w:pStyle w:val="ListParagraph"/>
        <w:numPr>
          <w:ilvl w:val="0"/>
          <w:numId w:val="4"/>
        </w:numPr>
        <w:rPr/>
      </w:pPr>
      <w:r>
        <w:rPr/>
        <w:t>Carefully motivate all choices made. Motivate your choice of techniques, estimation methods, and assumptions you make, and describe possible advantages/disadvantages, problems, etc.</w:t>
      </w:r>
    </w:p>
    <w:p>
      <w:pPr>
        <w:pStyle w:val="ListParagraph"/>
        <w:numPr>
          <w:ilvl w:val="0"/>
          <w:numId w:val="4"/>
        </w:numPr>
        <w:rPr/>
      </w:pPr>
      <w:r>
        <w:rPr/>
        <w:t>Discuss advantages and disadvantages, where relevant.</w:t>
      </w:r>
    </w:p>
    <w:p>
      <w:pPr>
        <w:pStyle w:val="ListParagraph"/>
        <w:numPr>
          <w:ilvl w:val="0"/>
          <w:numId w:val="4"/>
        </w:numPr>
        <w:rPr/>
      </w:pPr>
      <w:r>
        <w:rPr/>
        <w:t>Carefully reflect on the parameterization of your models.</w:t>
      </w:r>
    </w:p>
    <w:p>
      <w:pPr>
        <w:pStyle w:val="ListParagraph"/>
        <w:numPr>
          <w:ilvl w:val="0"/>
          <w:numId w:val="4"/>
        </w:numPr>
        <w:rPr/>
      </w:pPr>
      <w:r>
        <w:rPr/>
        <w:t>Do you have any recommendations with respect to future similar experiments?</w:t>
      </w:r>
    </w:p>
    <w:p>
      <w:pPr>
        <w:pStyle w:val="ListParagraph"/>
        <w:numPr>
          <w:ilvl w:val="0"/>
          <w:numId w:val="4"/>
        </w:numPr>
        <w:rPr/>
      </w:pPr>
      <w:r>
        <w:rPr/>
        <w:t>Pay attention to references and citations. The highest ethical standards (including towards plagiarism) must be observed!</w:t>
      </w:r>
    </w:p>
    <w:p>
      <w:pPr>
        <w:pStyle w:val="Heading1"/>
        <w:ind w:hanging="567" w:start="567"/>
        <w:rPr/>
      </w:pPr>
      <w:r>
        <w:rPr/>
        <w:t>Instructor Details</w:t>
      </w:r>
    </w:p>
    <w:p>
      <w:pPr>
        <w:pStyle w:val="Normal"/>
        <w:jc w:val="start"/>
        <w:rPr>
          <w:lang w:val="de-DE"/>
        </w:rPr>
      </w:pPr>
      <w:r>
        <w:rPr>
          <w:lang w:val="de-DE"/>
        </w:rPr>
        <w:t>Erwin Dreesen [</w:t>
      </w:r>
      <w:hyperlink r:id="rId2">
        <w:r>
          <w:rPr>
            <w:rStyle w:val="Hyperlink"/>
            <w:color w:val="auto"/>
            <w:lang w:val="de-DE"/>
          </w:rPr>
          <w:t>erwin.dreesen@kuleuven.be</w:t>
        </w:r>
      </w:hyperlink>
      <w:r>
        <w:rPr>
          <w:lang w:val="de-DE"/>
        </w:rPr>
        <w:t>]</w:t>
        <w:br/>
        <w:t>Laure Elens [</w:t>
      </w:r>
      <w:hyperlink r:id="rId3">
        <w:r>
          <w:rPr>
            <w:rStyle w:val="Hyperlink"/>
            <w:color w:val="auto"/>
            <w:lang w:val="de-DE"/>
          </w:rPr>
          <w:t>laure.elens@uclouvain.be</w:t>
        </w:r>
      </w:hyperlink>
      <w:r>
        <w:rPr>
          <w:lang w:val="de-DE"/>
        </w:rPr>
        <w:t>]</w:t>
        <w:br/>
        <w:t>Emmanuel Niyigena [</w:t>
      </w:r>
      <w:hyperlink r:id="rId4">
        <w:r>
          <w:rPr>
            <w:rStyle w:val="Hyperlink"/>
            <w:color w:val="auto"/>
            <w:lang w:val="de-DE"/>
          </w:rPr>
          <w:t>emmanuel.niyigena@kuleuven.be</w:t>
        </w:r>
      </w:hyperlink>
      <w:r>
        <w:rPr>
          <w:lang w:val="de-DE"/>
        </w:rPr>
        <w:t>]</w:t>
      </w:r>
    </w:p>
    <w:p>
      <w:pPr>
        <w:pStyle w:val="Normal"/>
        <w:jc w:val="start"/>
        <w:rPr>
          <w:lang w:val="de-DE"/>
        </w:rPr>
      </w:pPr>
      <w:r>
        <w:rPr>
          <w:lang w:val="de-DE"/>
        </w:rPr>
      </w:r>
    </w:p>
    <w:p>
      <w:pPr>
        <w:pStyle w:val="Normal"/>
        <w:jc w:val="start"/>
        <w:rPr>
          <w:lang w:val="de-DE"/>
        </w:rPr>
      </w:pPr>
      <w:r>
        <w:rPr>
          <w:lang w:val="de-DE"/>
        </w:rPr>
      </w:r>
    </w:p>
    <w:p>
      <w:pPr>
        <w:pStyle w:val="Normal"/>
        <w:spacing w:before="0" w:after="120"/>
        <w:jc w:val="start"/>
        <w:rPr>
          <w:lang w:val="de-DE"/>
        </w:rPr>
      </w:pPr>
      <w:r>
        <w:rPr>
          <w:lang w:val="de-DE"/>
        </w:rPr>
      </w:r>
    </w:p>
    <w:sectPr>
      <w:footerReference w:type="even" r:id="rId5"/>
      <w:footerReference w:type="default" r:id="rId6"/>
      <w:footerReference w:type="first" r:id="rId7"/>
      <w:footnotePr>
        <w:numFmt w:val="decimal"/>
      </w:footnotePr>
      <w:type w:val="nextPage"/>
      <w:pgSz w:w="11906" w:h="16838"/>
      <w:pgMar w:left="1418" w:right="1418" w:gutter="0" w:header="0"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ptos Display">
    <w:charset w:val="01" w:characterSet="utf-8"/>
    <w:family w:val="swiss"/>
    <w:pitch w:val="variable"/>
  </w:font>
  <w:font w:name="Courier New">
    <w:charset w:val="01" w:characterSet="utf-8"/>
    <w:family w:val="swiss"/>
    <w:pitch w:val="variable"/>
  </w:font>
  <w:font w:name="Segoe UI">
    <w:charset w:val="01" w:characterSet="utf-8"/>
    <w:family w:val="swiss"/>
    <w:pitch w:val="variable"/>
  </w:font>
  <w:font w:name="Consola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jc w:val="center"/>
          <w:rPr>
            <w:sz w:val="18"/>
            <w:szCs w:val="18"/>
          </w:rPr>
        </w:pPr>
        <w:r>
          <w:rPr>
            <w:sz w:val="18"/>
            <w:szCs w:val="18"/>
          </w:rPr>
          <w:t xml:space="preserve">Page </w:t>
        </w:r>
        <w:r>
          <w:rPr>
            <w:b/>
            <w:bCs/>
            <w:sz w:val="18"/>
            <w:szCs w:val="18"/>
          </w:rPr>
          <w:fldChar w:fldCharType="begin"/>
        </w:r>
        <w:r>
          <w:rPr>
            <w:sz w:val="18"/>
            <w:b/>
            <w:szCs w:val="18"/>
            <w:bCs/>
          </w:rPr>
          <w:instrText xml:space="preserve"> PAGE </w:instrText>
        </w:r>
        <w:r>
          <w:rPr>
            <w:sz w:val="18"/>
            <w:b/>
            <w:szCs w:val="18"/>
            <w:bCs/>
          </w:rPr>
          <w:fldChar w:fldCharType="separate"/>
        </w:r>
        <w:r>
          <w:rPr>
            <w:sz w:val="18"/>
            <w:b/>
            <w:szCs w:val="18"/>
            <w:bCs/>
          </w:rPr>
          <w:t>3</w:t>
        </w:r>
        <w:r>
          <w:rPr>
            <w:sz w:val="18"/>
            <w:b/>
            <w:szCs w:val="18"/>
            <w:bCs/>
          </w:rPr>
          <w:fldChar w:fldCharType="end"/>
        </w:r>
        <w:r>
          <w:rPr>
            <w:sz w:val="18"/>
            <w:szCs w:val="18"/>
          </w:rPr>
          <w:t xml:space="preserve"> of </w:t>
        </w:r>
        <w:r>
          <w:rPr>
            <w:b/>
            <w:bCs/>
            <w:sz w:val="18"/>
            <w:szCs w:val="18"/>
          </w:rPr>
          <w:fldChar w:fldCharType="begin"/>
        </w:r>
        <w:r>
          <w:rPr>
            <w:sz w:val="18"/>
            <w:b/>
            <w:szCs w:val="18"/>
            <w:bCs/>
          </w:rPr>
          <w:instrText xml:space="preserve"> NUMPAGES </w:instrText>
        </w:r>
        <w:r>
          <w:rPr>
            <w:sz w:val="18"/>
            <w:b/>
            <w:szCs w:val="18"/>
            <w:bCs/>
          </w:rPr>
          <w:fldChar w:fldCharType="separate"/>
        </w:r>
        <w:r>
          <w:rPr>
            <w:sz w:val="18"/>
            <w:b/>
            <w:szCs w:val="18"/>
            <w:bCs/>
          </w:rPr>
          <w:t>3</w:t>
        </w:r>
        <w:r>
          <w:rPr>
            <w:sz w:val="18"/>
            <w:b/>
            <w:szCs w:val="18"/>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jc w:val="center"/>
          <w:rPr>
            <w:sz w:val="18"/>
            <w:szCs w:val="18"/>
          </w:rPr>
        </w:pPr>
        <w:r>
          <w:rPr>
            <w:sz w:val="18"/>
            <w:szCs w:val="18"/>
          </w:rPr>
          <w:t xml:space="preserve">Page </w:t>
        </w:r>
        <w:r>
          <w:rPr>
            <w:b/>
            <w:bCs/>
            <w:sz w:val="18"/>
            <w:szCs w:val="18"/>
          </w:rPr>
          <w:fldChar w:fldCharType="begin"/>
        </w:r>
        <w:r>
          <w:rPr>
            <w:sz w:val="18"/>
            <w:b/>
            <w:szCs w:val="18"/>
            <w:bCs/>
          </w:rPr>
          <w:instrText xml:space="preserve"> PAGE </w:instrText>
        </w:r>
        <w:r>
          <w:rPr>
            <w:sz w:val="18"/>
            <w:b/>
            <w:szCs w:val="18"/>
            <w:bCs/>
          </w:rPr>
          <w:fldChar w:fldCharType="separate"/>
        </w:r>
        <w:r>
          <w:rPr>
            <w:sz w:val="18"/>
            <w:b/>
            <w:szCs w:val="18"/>
            <w:bCs/>
          </w:rPr>
          <w:t>3</w:t>
        </w:r>
        <w:r>
          <w:rPr>
            <w:sz w:val="18"/>
            <w:b/>
            <w:szCs w:val="18"/>
            <w:bCs/>
          </w:rPr>
          <w:fldChar w:fldCharType="end"/>
        </w:r>
        <w:r>
          <w:rPr>
            <w:sz w:val="18"/>
            <w:szCs w:val="18"/>
          </w:rPr>
          <w:t xml:space="preserve"> of </w:t>
        </w:r>
        <w:r>
          <w:rPr>
            <w:b/>
            <w:bCs/>
            <w:sz w:val="18"/>
            <w:szCs w:val="18"/>
          </w:rPr>
          <w:fldChar w:fldCharType="begin"/>
        </w:r>
        <w:r>
          <w:rPr>
            <w:sz w:val="18"/>
            <w:b/>
            <w:szCs w:val="18"/>
            <w:bCs/>
          </w:rPr>
          <w:instrText xml:space="preserve"> NUMPAGES </w:instrText>
        </w:r>
        <w:r>
          <w:rPr>
            <w:sz w:val="18"/>
            <w:b/>
            <w:szCs w:val="18"/>
            <w:bCs/>
          </w:rPr>
          <w:fldChar w:fldCharType="separate"/>
        </w:r>
        <w:r>
          <w:rPr>
            <w:sz w:val="18"/>
            <w:b/>
            <w:szCs w:val="18"/>
            <w:bCs/>
          </w:rPr>
          <w:t>3</w:t>
        </w:r>
        <w:r>
          <w:rPr>
            <w:sz w:val="18"/>
            <w:b/>
            <w:szCs w:val="18"/>
            <w:bCs/>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color w:themeColor="text1" w:val="000000"/>
          <w:lang w:val="en-GB"/>
        </w:rPr>
      </w:pPr>
      <w:r>
        <w:rPr>
          <w:rStyle w:val="FootnoteCharacters"/>
        </w:rPr>
        <w:footnoteRef/>
      </w:r>
      <w:r>
        <w:rPr>
          <w:color w:themeColor="text1" w:val="000000"/>
        </w:rPr>
        <w:t xml:space="preserve"> </w:t>
      </w:r>
      <w:r>
        <w:rPr>
          <w:rFonts w:eastAsia="Times New Roman" w:cs="Times New Roman" w:ascii="Aptos Display" w:hAnsi="Aptos Display" w:asciiTheme="majorHAnsi" w:hAnsiTheme="majorHAnsi"/>
          <w:color w:themeColor="text1" w:val="000000"/>
          <w:kern w:val="0"/>
          <w:lang w:val="en-GB" w:eastAsia="en-GB"/>
          <w14:ligatures w14:val="none"/>
        </w:rPr>
        <w:t>Estimated by Cockcroft–Gault function</w:t>
      </w:r>
    </w:p>
  </w:footnote>
  <w:footnote w:id="3">
    <w:p>
      <w:pPr>
        <w:pStyle w:val="FootnoteText"/>
        <w:rPr>
          <w:color w:themeColor="text1" w:val="000000"/>
        </w:rPr>
      </w:pPr>
      <w:r>
        <w:rPr>
          <w:rStyle w:val="FootnoteCharacters"/>
        </w:rPr>
        <w:footnoteRef/>
      </w:r>
      <w:r>
        <w:rPr>
          <w:color w:themeColor="text1" w:val="000000"/>
        </w:rPr>
        <w:t xml:space="preserve"> </w:t>
      </w:r>
      <w:r>
        <w:rPr>
          <w:color w:themeColor="text1" w:val="000000"/>
        </w:rPr>
        <w:t>Estimated by 2021 CKD-EPI equation</w:t>
      </w:r>
    </w:p>
  </w:footnote>
  <w:footnote w:id="4">
    <w:p>
      <w:pPr>
        <w:pStyle w:val="FootnoteText"/>
        <w:rPr>
          <w:lang w:val="en-GB"/>
        </w:rPr>
      </w:pPr>
      <w:r>
        <w:rPr>
          <w:rStyle w:val="FootnoteCharacters"/>
        </w:rPr>
        <w:footnoteRef/>
      </w:r>
      <w:r>
        <w:rPr>
          <w:color w:themeColor="text1" w:val="000000"/>
        </w:rPr>
        <w:t xml:space="preserve"> </w:t>
      </w:r>
      <w:r>
        <w:rPr>
          <w:color w:themeColor="text1" w:val="000000"/>
        </w:rPr>
        <w:t>The molecular mass of ceftriaxPro is 600 g/mol.</w:t>
      </w:r>
    </w:p>
  </w:footnote>
  <w:footnote w:id="5">
    <w:p>
      <w:pPr>
        <w:pStyle w:val="FootnoteText"/>
        <w:rPr>
          <w:color w:themeColor="text1" w:val="000000"/>
        </w:rPr>
      </w:pPr>
      <w:r>
        <w:rPr>
          <w:rStyle w:val="FootnoteCharacters"/>
        </w:rPr>
        <w:footnoteRef/>
      </w:r>
      <w:r>
        <w:rPr>
          <w:color w:themeColor="text1" w:val="000000"/>
        </w:rPr>
        <w:t xml:space="preserve"> </w:t>
      </w:r>
      <w:r>
        <w:rPr>
          <w:color w:themeColor="text1" w:val="000000"/>
        </w:rPr>
        <w:t>The bioanalytical method had a lower limit of quantification of 0.001 mmol/L for total ceftriaxPro and                                   0.0001 mmol/L for unbound CeftriaxPro.</w:t>
      </w:r>
    </w:p>
  </w:footnote>
  <w:footnote w:id="6">
    <w:p>
      <w:pPr>
        <w:pStyle w:val="FootnoteText"/>
        <w:rPr>
          <w:lang w:val="en-GB"/>
        </w:rPr>
      </w:pPr>
      <w:r>
        <w:rPr>
          <w:rStyle w:val="FootnoteCharacters"/>
        </w:rPr>
        <w:footnoteRef/>
      </w:r>
      <w:r>
        <w:rPr>
          <w:color w:themeColor="text1" w:val="000000"/>
        </w:rPr>
        <w:t>The molecular mass of albumin is 66 500 g/mol.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Aptos" w:hAnsi="Aptos" w:cs="Aptos" w:hint="default"/>
        <w:rFonts w:cstheme="minorBidi"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ko-KR"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cstheme="minorBidi" w:eastAsiaTheme="minorEastAsia"/>
        <w:kern w:val="2"/>
        <w:sz w:val="22"/>
        <w:szCs w:val="22"/>
        <w:lang w:val="nl-BE"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6506"/>
    <w:pPr>
      <w:widowControl/>
      <w:suppressAutoHyphens w:val="true"/>
      <w:bidi w:val="0"/>
      <w:spacing w:lineRule="auto" w:line="360" w:before="0" w:after="120"/>
      <w:jc w:val="both"/>
    </w:pPr>
    <w:rPr>
      <w:rFonts w:ascii="Aptos" w:hAnsi="Aptos" w:eastAsia="" w:cs="" w:cstheme="minorBidi" w:eastAsiaTheme="minorEastAsia"/>
      <w:color w:val="auto"/>
      <w:kern w:val="2"/>
      <w:sz w:val="22"/>
      <w:szCs w:val="22"/>
      <w:lang w:val="en-US" w:eastAsia="ko-KR" w:bidi="ar-SA"/>
      <w14:ligatures w14:val="standardContextual"/>
    </w:rPr>
  </w:style>
  <w:style w:type="paragraph" w:styleId="Heading1">
    <w:name w:val="heading 1"/>
    <w:basedOn w:val="ListParagraph"/>
    <w:next w:val="Normal"/>
    <w:link w:val="Heading1Char"/>
    <w:uiPriority w:val="9"/>
    <w:qFormat/>
    <w:rsid w:val="00f07426"/>
    <w:pPr>
      <w:numPr>
        <w:ilvl w:val="0"/>
        <w:numId w:val="1"/>
      </w:numPr>
      <w:spacing w:before="360" w:after="120"/>
      <w:ind w:hanging="567" w:start="567"/>
      <w:contextualSpacing w:val="false"/>
      <w:outlineLvl w:val="0"/>
    </w:pPr>
    <w:rPr>
      <w:b/>
      <w:bCs/>
      <w:sz w:val="24"/>
      <w:szCs w:val="24"/>
    </w:rPr>
  </w:style>
  <w:style w:type="paragraph" w:styleId="Heading2">
    <w:name w:val="heading 2"/>
    <w:basedOn w:val="Normal"/>
    <w:next w:val="Normal"/>
    <w:link w:val="Heading2Char"/>
    <w:uiPriority w:val="9"/>
    <w:semiHidden/>
    <w:unhideWhenUsed/>
    <w:qFormat/>
    <w:rsid w:val="00d71ec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71ec5"/>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Heading4Char"/>
    <w:uiPriority w:val="9"/>
    <w:semiHidden/>
    <w:unhideWhenUsed/>
    <w:qFormat/>
    <w:rsid w:val="00d71ec5"/>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Heading5Char"/>
    <w:uiPriority w:val="9"/>
    <w:semiHidden/>
    <w:unhideWhenUsed/>
    <w:qFormat/>
    <w:rsid w:val="00d71ec5"/>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rsid w:val="00d71ec5"/>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d71ec5"/>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d71ec5"/>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d71ec5"/>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07426"/>
    <w:rPr>
      <w:b/>
      <w:bCs/>
      <w:sz w:val="24"/>
      <w:szCs w:val="24"/>
      <w:lang w:val="en-US"/>
    </w:rPr>
  </w:style>
  <w:style w:type="character" w:styleId="Heading2Char" w:customStyle="1">
    <w:name w:val="Heading 2 Char"/>
    <w:basedOn w:val="DefaultParagraphFont"/>
    <w:link w:val="Heading2"/>
    <w:uiPriority w:val="9"/>
    <w:semiHidden/>
    <w:qFormat/>
    <w:rsid w:val="00d71ec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71ec5"/>
    <w:rPr>
      <w:rFonts w:ascii="Aptos" w:hAnsi="Aptos" w:eastAsia="" w:cs="" w:asciiTheme="minorHAnsi" w:cstheme="majorBidi" w:eastAsiaTheme="majorEastAsia" w:hAnsiTheme="minorHAnsi"/>
      <w:color w:themeColor="accent1" w:themeShade="bf" w:val="0F4761"/>
      <w:sz w:val="28"/>
      <w:szCs w:val="28"/>
    </w:rPr>
  </w:style>
  <w:style w:type="character" w:styleId="Heading4Char" w:customStyle="1">
    <w:name w:val="Heading 4 Char"/>
    <w:basedOn w:val="DefaultParagraphFont"/>
    <w:link w:val="Heading4"/>
    <w:uiPriority w:val="9"/>
    <w:semiHidden/>
    <w:qFormat/>
    <w:rsid w:val="00d71ec5"/>
    <w:rPr>
      <w:rFonts w:ascii="Aptos" w:hAnsi="Aptos" w:eastAsia="" w:cs="" w:asciiTheme="minorHAnsi" w:cstheme="majorBidi" w:eastAsiaTheme="majorEastAsia" w:hAnsiTheme="minorHAnsi"/>
      <w:i/>
      <w:iCs/>
      <w:color w:themeColor="accent1" w:themeShade="bf" w:val="0F4761"/>
    </w:rPr>
  </w:style>
  <w:style w:type="character" w:styleId="Heading5Char" w:customStyle="1">
    <w:name w:val="Heading 5 Char"/>
    <w:basedOn w:val="DefaultParagraphFont"/>
    <w:link w:val="Heading5"/>
    <w:uiPriority w:val="9"/>
    <w:semiHidden/>
    <w:qFormat/>
    <w:rsid w:val="00d71ec5"/>
    <w:rPr>
      <w:rFonts w:ascii="Aptos" w:hAnsi="Aptos" w:eastAsia="" w:cs="" w:asciiTheme="minorHAnsi" w:cstheme="majorBidi" w:eastAsiaTheme="majorEastAsia" w:hAnsiTheme="minorHAnsi"/>
      <w:color w:themeColor="accent1" w:themeShade="bf" w:val="0F4761"/>
    </w:rPr>
  </w:style>
  <w:style w:type="character" w:styleId="Heading6Char" w:customStyle="1">
    <w:name w:val="Heading 6 Char"/>
    <w:basedOn w:val="DefaultParagraphFont"/>
    <w:link w:val="Heading6"/>
    <w:uiPriority w:val="9"/>
    <w:semiHidden/>
    <w:qFormat/>
    <w:rsid w:val="00d71ec5"/>
    <w:rPr>
      <w:rFonts w:ascii="Aptos" w:hAnsi="Aptos" w:eastAsia=""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d71ec5"/>
    <w:rPr>
      <w:rFonts w:ascii="Aptos" w:hAnsi="Aptos" w:eastAsia=""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d71ec5"/>
    <w:rPr>
      <w:rFonts w:ascii="Aptos" w:hAnsi="Aptos" w:eastAsia=""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d71ec5"/>
    <w:rPr>
      <w:rFonts w:ascii="Aptos" w:hAnsi="Aptos" w:eastAsia="" w:cs=""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0f59b0"/>
    <w:rPr>
      <w:b/>
      <w:bCs/>
      <w:sz w:val="32"/>
      <w:szCs w:val="32"/>
    </w:rPr>
  </w:style>
  <w:style w:type="character" w:styleId="SubtitleChar" w:customStyle="1">
    <w:name w:val="Subtitle Char"/>
    <w:basedOn w:val="DefaultParagraphFont"/>
    <w:link w:val="Subtitle"/>
    <w:uiPriority w:val="11"/>
    <w:qFormat/>
    <w:rsid w:val="000f59b0"/>
    <w:rPr>
      <w:sz w:val="28"/>
      <w:szCs w:val="28"/>
    </w:rPr>
  </w:style>
  <w:style w:type="character" w:styleId="QuoteChar" w:customStyle="1">
    <w:name w:val="Quote Char"/>
    <w:basedOn w:val="DefaultParagraphFont"/>
    <w:link w:val="Quote"/>
    <w:uiPriority w:val="29"/>
    <w:qFormat/>
    <w:rsid w:val="00d71ec5"/>
    <w:rPr>
      <w:i/>
      <w:iCs/>
      <w:color w:themeColor="text1" w:themeTint="bf" w:val="404040"/>
    </w:rPr>
  </w:style>
  <w:style w:type="character" w:styleId="IntenseEmphasis">
    <w:name w:val="Intense Emphasis"/>
    <w:basedOn w:val="DefaultParagraphFont"/>
    <w:uiPriority w:val="21"/>
    <w:qFormat/>
    <w:rsid w:val="00d71ec5"/>
    <w:rPr>
      <w:i/>
      <w:iCs/>
      <w:color w:themeColor="accent1" w:themeShade="bf" w:val="0F4761"/>
    </w:rPr>
  </w:style>
  <w:style w:type="character" w:styleId="IntenseQuoteChar" w:customStyle="1">
    <w:name w:val="Intense Quote Char"/>
    <w:basedOn w:val="DefaultParagraphFont"/>
    <w:link w:val="IntenseQuote"/>
    <w:uiPriority w:val="30"/>
    <w:qFormat/>
    <w:rsid w:val="00d71ec5"/>
    <w:rPr>
      <w:i/>
      <w:iCs/>
      <w:color w:themeColor="accent1" w:themeShade="bf" w:val="0F4761"/>
    </w:rPr>
  </w:style>
  <w:style w:type="character" w:styleId="IntenseReference">
    <w:name w:val="Intense Reference"/>
    <w:basedOn w:val="DefaultParagraphFont"/>
    <w:uiPriority w:val="32"/>
    <w:qFormat/>
    <w:rsid w:val="00d71ec5"/>
    <w:rPr>
      <w:b/>
      <w:bCs/>
      <w:smallCaps/>
      <w:color w:themeColor="accent1" w:themeShade="bf" w:val="0F4761"/>
      <w:spacing w:val="5"/>
    </w:rPr>
  </w:style>
  <w:style w:type="character" w:styleId="HeaderChar" w:customStyle="1">
    <w:name w:val="Header Char"/>
    <w:basedOn w:val="DefaultParagraphFont"/>
    <w:link w:val="Header"/>
    <w:uiPriority w:val="99"/>
    <w:qFormat/>
    <w:rsid w:val="001e7911"/>
    <w:rPr/>
  </w:style>
  <w:style w:type="character" w:styleId="FooterChar" w:customStyle="1">
    <w:name w:val="Footer Char"/>
    <w:basedOn w:val="DefaultParagraphFont"/>
    <w:link w:val="Footer"/>
    <w:uiPriority w:val="99"/>
    <w:qFormat/>
    <w:rsid w:val="001e7911"/>
    <w:rPr/>
  </w:style>
  <w:style w:type="character" w:styleId="CommentReference">
    <w:name w:val="annotation reference"/>
    <w:basedOn w:val="DefaultParagraphFont"/>
    <w:uiPriority w:val="99"/>
    <w:semiHidden/>
    <w:unhideWhenUsed/>
    <w:qFormat/>
    <w:rsid w:val="002f556e"/>
    <w:rPr>
      <w:sz w:val="16"/>
      <w:szCs w:val="16"/>
    </w:rPr>
  </w:style>
  <w:style w:type="character" w:styleId="CommentTextChar" w:customStyle="1">
    <w:name w:val="Comment Text Char"/>
    <w:basedOn w:val="DefaultParagraphFont"/>
    <w:link w:val="CommentText"/>
    <w:uiPriority w:val="99"/>
    <w:qFormat/>
    <w:rsid w:val="002f556e"/>
    <w:rPr>
      <w:sz w:val="20"/>
      <w:szCs w:val="20"/>
    </w:rPr>
  </w:style>
  <w:style w:type="character" w:styleId="CommentSubjectChar" w:customStyle="1">
    <w:name w:val="Comment Subject Char"/>
    <w:basedOn w:val="CommentTextChar"/>
    <w:link w:val="annotationsubject"/>
    <w:uiPriority w:val="99"/>
    <w:semiHidden/>
    <w:qFormat/>
    <w:rsid w:val="002f556e"/>
    <w:rPr>
      <w:b/>
      <w:bCs/>
      <w:sz w:val="20"/>
      <w:szCs w:val="20"/>
    </w:rPr>
  </w:style>
  <w:style w:type="character" w:styleId="Hyperlink">
    <w:name w:val="Hyperlink"/>
    <w:basedOn w:val="DefaultParagraphFont"/>
    <w:uiPriority w:val="99"/>
    <w:unhideWhenUsed/>
    <w:rsid w:val="001c6ae2"/>
    <w:rPr>
      <w:color w:themeColor="hyperlink" w:val="467886"/>
      <w:u w:val="single"/>
    </w:rPr>
  </w:style>
  <w:style w:type="character" w:styleId="UnresolvedMention">
    <w:name w:val="Unresolved Mention"/>
    <w:basedOn w:val="DefaultParagraphFont"/>
    <w:uiPriority w:val="99"/>
    <w:semiHidden/>
    <w:unhideWhenUsed/>
    <w:qFormat/>
    <w:rsid w:val="001c6ae2"/>
    <w:rPr>
      <w:color w:val="605E5C"/>
      <w:shd w:fill="E1DFDD" w:val="clear"/>
    </w:rPr>
  </w:style>
  <w:style w:type="character" w:styleId="CodeChar" w:customStyle="1">
    <w:name w:val="Code Char"/>
    <w:basedOn w:val="DefaultParagraphFont"/>
    <w:link w:val="Code"/>
    <w:qFormat/>
    <w:rsid w:val="00c63f32"/>
    <w:rPr>
      <w:rFonts w:ascii="Courier New" w:hAnsi="Courier New" w:cs="Courier New"/>
      <w:sz w:val="20"/>
      <w:lang w:val="en-GB"/>
    </w:rPr>
  </w:style>
  <w:style w:type="character" w:styleId="FootnoteTextChar" w:customStyle="1">
    <w:name w:val="Footnote Text Char"/>
    <w:basedOn w:val="DefaultParagraphFont"/>
    <w:link w:val="FootnoteText"/>
    <w:uiPriority w:val="99"/>
    <w:semiHidden/>
    <w:qFormat/>
    <w:rsid w:val="002e000a"/>
    <w:rPr>
      <w:sz w:val="20"/>
      <w:szCs w:val="20"/>
      <w:lang w:val="en-US"/>
    </w:rPr>
  </w:style>
  <w:style w:type="character" w:styleId="FootnoteCharactersuser">
    <w:name w:val="Footnote Characters (user)"/>
    <w:basedOn w:val="DefaultParagraphFont"/>
    <w:uiPriority w:val="99"/>
    <w:semiHidden/>
    <w:unhideWhenUsed/>
    <w:qFormat/>
    <w:rsid w:val="002e000a"/>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basedOn w:val="DefaultParagraphFont"/>
    <w:uiPriority w:val="20"/>
    <w:qFormat/>
    <w:rsid w:val="004c7e6a"/>
    <w:rPr>
      <w:i/>
      <w:iCs/>
    </w:rPr>
  </w:style>
  <w:style w:type="character" w:styleId="Strong">
    <w:name w:val="Strong"/>
    <w:basedOn w:val="DefaultParagraphFont"/>
    <w:uiPriority w:val="22"/>
    <w:qFormat/>
    <w:rsid w:val="004c7e6a"/>
    <w:rPr>
      <w:b/>
      <w:bCs/>
    </w:rPr>
  </w:style>
  <w:style w:type="character" w:styleId="PlaceholderText">
    <w:name w:val="Placeholder Text"/>
    <w:basedOn w:val="DefaultParagraphFont"/>
    <w:uiPriority w:val="99"/>
    <w:semiHidden/>
    <w:qFormat/>
    <w:rsid w:val="0024014f"/>
    <w:rPr>
      <w:color w:val="666666"/>
    </w:rPr>
  </w:style>
  <w:style w:type="character" w:styleId="cf01" w:customStyle="1">
    <w:name w:val="cf01"/>
    <w:basedOn w:val="DefaultParagraphFont"/>
    <w:qFormat/>
    <w:rsid w:val="00997253"/>
    <w:rPr>
      <w:rFonts w:ascii="Segoe UI" w:hAnsi="Segoe UI" w:cs="Segoe UI"/>
      <w:sz w:val="18"/>
      <w:szCs w:val="18"/>
    </w:rPr>
  </w:style>
  <w:style w:type="character" w:styleId="HTMLPreformattedChar" w:customStyle="1">
    <w:name w:val="HTML Preformatted Char"/>
    <w:basedOn w:val="DefaultParagraphFont"/>
    <w:link w:val="HTMLPreformatted"/>
    <w:uiPriority w:val="99"/>
    <w:semiHidden/>
    <w:qFormat/>
    <w:rsid w:val="002e7409"/>
    <w:rPr>
      <w:rFonts w:ascii="Consolas" w:hAnsi="Consolas"/>
      <w:sz w:val="20"/>
      <w:szCs w:val="20"/>
      <w:lang w:val="en-U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f59b0"/>
    <w:pPr>
      <w:jc w:val="center"/>
    </w:pPr>
    <w:rPr>
      <w:b/>
      <w:bCs/>
      <w:sz w:val="32"/>
      <w:szCs w:val="32"/>
    </w:rPr>
  </w:style>
  <w:style w:type="paragraph" w:styleId="Subtitle">
    <w:name w:val="Subtitle"/>
    <w:basedOn w:val="Normal"/>
    <w:next w:val="Normal"/>
    <w:link w:val="SubtitleChar"/>
    <w:uiPriority w:val="11"/>
    <w:qFormat/>
    <w:rsid w:val="000f59b0"/>
    <w:pPr>
      <w:jc w:val="center"/>
    </w:pPr>
    <w:rPr>
      <w:sz w:val="28"/>
      <w:szCs w:val="28"/>
    </w:rPr>
  </w:style>
  <w:style w:type="paragraph" w:styleId="Quote">
    <w:name w:val="Quote"/>
    <w:basedOn w:val="Normal"/>
    <w:next w:val="Normal"/>
    <w:link w:val="QuoteChar"/>
    <w:uiPriority w:val="29"/>
    <w:qFormat/>
    <w:rsid w:val="00d71ec5"/>
    <w:pPr>
      <w:spacing w:before="160" w:after="160"/>
      <w:jc w:val="center"/>
    </w:pPr>
    <w:rPr>
      <w:i/>
      <w:iCs/>
      <w:color w:themeColor="text1" w:themeTint="bf" w:val="404040"/>
    </w:rPr>
  </w:style>
  <w:style w:type="paragraph" w:styleId="ListParagraph">
    <w:name w:val="List Paragraph"/>
    <w:basedOn w:val="Normal"/>
    <w:uiPriority w:val="34"/>
    <w:qFormat/>
    <w:rsid w:val="00d71ec5"/>
    <w:pPr>
      <w:spacing w:before="0" w:after="120"/>
      <w:ind w:start="720"/>
      <w:contextualSpacing/>
    </w:pPr>
    <w:rPr/>
  </w:style>
  <w:style w:type="paragraph" w:styleId="IntenseQuote">
    <w:name w:val="Intense Quote"/>
    <w:basedOn w:val="Normal"/>
    <w:next w:val="Normal"/>
    <w:link w:val="IntenseQuoteChar"/>
    <w:uiPriority w:val="30"/>
    <w:qFormat/>
    <w:rsid w:val="00d71ec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1e7911"/>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1e7911"/>
    <w:pPr>
      <w:tabs>
        <w:tab w:val="clear" w:pos="708"/>
        <w:tab w:val="center" w:pos="4536" w:leader="none"/>
        <w:tab w:val="right" w:pos="9072" w:leader="none"/>
      </w:tabs>
      <w:spacing w:lineRule="auto" w:line="240" w:before="0" w:after="0"/>
    </w:pPr>
    <w:rPr/>
  </w:style>
  <w:style w:type="paragraph" w:styleId="CommentText">
    <w:name w:val="annotation text"/>
    <w:basedOn w:val="Normal"/>
    <w:link w:val="CommentTextChar"/>
    <w:uiPriority w:val="99"/>
    <w:unhideWhenUsed/>
    <w:rsid w:val="002f556e"/>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2f556e"/>
    <w:pPr/>
    <w:rPr>
      <w:b/>
      <w:bCs/>
    </w:rPr>
  </w:style>
  <w:style w:type="paragraph" w:styleId="Code" w:customStyle="1">
    <w:name w:val="Code"/>
    <w:basedOn w:val="Normal"/>
    <w:link w:val="CodeChar"/>
    <w:qFormat/>
    <w:rsid w:val="00c63f32"/>
    <w:pPr>
      <w:spacing w:lineRule="auto" w:line="240" w:before="0" w:after="0"/>
      <w:contextualSpacing/>
    </w:pPr>
    <w:rPr>
      <w:rFonts w:ascii="Courier New" w:hAnsi="Courier New" w:cs="Courier New"/>
      <w:sz w:val="20"/>
      <w:lang w:val="en-GB"/>
    </w:rPr>
  </w:style>
  <w:style w:type="paragraph" w:styleId="FootnoteText">
    <w:name w:val="footnote text"/>
    <w:basedOn w:val="Normal"/>
    <w:link w:val="FootnoteTextChar"/>
    <w:uiPriority w:val="99"/>
    <w:semiHidden/>
    <w:unhideWhenUsed/>
    <w:rsid w:val="002e000a"/>
    <w:pPr>
      <w:spacing w:lineRule="auto" w:line="240" w:before="0" w:after="0"/>
    </w:pPr>
    <w:rPr>
      <w:sz w:val="20"/>
      <w:szCs w:val="20"/>
    </w:rPr>
  </w:style>
  <w:style w:type="paragraph" w:styleId="Revision">
    <w:name w:val="Revision"/>
    <w:uiPriority w:val="99"/>
    <w:semiHidden/>
    <w:qFormat/>
    <w:rsid w:val="00bd32a5"/>
    <w:pPr>
      <w:widowControl/>
      <w:suppressAutoHyphens w:val="true"/>
      <w:bidi w:val="0"/>
      <w:spacing w:lineRule="auto" w:line="240" w:before="0" w:after="0"/>
      <w:jc w:val="start"/>
    </w:pPr>
    <w:rPr>
      <w:rFonts w:ascii="Aptos" w:hAnsi="Aptos" w:eastAsia="" w:cs="" w:cstheme="minorBidi" w:eastAsiaTheme="minorEastAsia"/>
      <w:color w:val="auto"/>
      <w:kern w:val="2"/>
      <w:sz w:val="22"/>
      <w:szCs w:val="22"/>
      <w:lang w:val="en-US" w:eastAsia="ko-KR" w:bidi="ar-SA"/>
      <w14:ligatures w14:val="standardContextual"/>
    </w:rPr>
  </w:style>
  <w:style w:type="paragraph" w:styleId="NormalWeb">
    <w:name w:val="Normal (Web)"/>
    <w:basedOn w:val="Normal"/>
    <w:uiPriority w:val="99"/>
    <w:unhideWhenUsed/>
    <w:qFormat/>
    <w:rsid w:val="004c7e6a"/>
    <w:pPr>
      <w:spacing w:lineRule="auto" w:line="240" w:beforeAutospacing="1" w:afterAutospacing="1"/>
      <w:jc w:val="start"/>
    </w:pPr>
    <w:rPr>
      <w:rFonts w:ascii="Times New Roman" w:hAnsi="Times New Roman" w:eastAsia="Times New Roman" w:cs="Times New Roman"/>
      <w:kern w:val="0"/>
      <w:sz w:val="24"/>
      <w:szCs w:val="24"/>
      <w:lang w:val="en-GB" w:eastAsia="en-GB"/>
      <w14:ligatures w14:val="none"/>
    </w:rPr>
  </w:style>
  <w:style w:type="paragraph" w:styleId="pf0" w:customStyle="1">
    <w:name w:val="pf0"/>
    <w:basedOn w:val="Normal"/>
    <w:qFormat/>
    <w:rsid w:val="00997253"/>
    <w:pPr>
      <w:spacing w:lineRule="auto" w:line="240" w:beforeAutospacing="1" w:afterAutospacing="1"/>
      <w:jc w:val="start"/>
    </w:pPr>
    <w:rPr>
      <w:rFonts w:ascii="Times New Roman" w:hAnsi="Times New Roman" w:eastAsia="Times New Roman" w:cs="Times New Roman"/>
      <w:kern w:val="0"/>
      <w:sz w:val="24"/>
      <w:szCs w:val="24"/>
      <w:lang w:val="en-GB" w:eastAsia="en-GB"/>
      <w14:ligatures w14:val="none"/>
    </w:rPr>
  </w:style>
  <w:style w:type="paragraph" w:styleId="HTMLPreformatted">
    <w:name w:val="HTML Preformatted"/>
    <w:basedOn w:val="Normal"/>
    <w:link w:val="HTMLPreformattedChar"/>
    <w:uiPriority w:val="99"/>
    <w:semiHidden/>
    <w:unhideWhenUsed/>
    <w:qFormat/>
    <w:rsid w:val="002e7409"/>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rwin.dreesen@kuleuven.be" TargetMode="External"/><Relationship Id="rId3" Type="http://schemas.openxmlformats.org/officeDocument/2006/relationships/hyperlink" Target="mailto:laure.elens@uclouvain.be" TargetMode="External"/><Relationship Id="rId4" Type="http://schemas.openxmlformats.org/officeDocument/2006/relationships/hyperlink" Target="mailto:emmanuel.niyigena@kuleuven.be"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BD3B0FDB-B65C-48B0-A06A-C99F63B3E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Application>LibreOffice/25.8.3.2$Linux_X86_64 LibreOffice_project/580$Build-2</Application>
  <AppVersion>15.0000</AppVersion>
  <Pages>3</Pages>
  <Words>790</Words>
  <Characters>4664</Characters>
  <CharactersWithSpaces>5401</CharactersWithSpaces>
  <Paragraphs>53</Paragraphs>
  <Company>KU Leuven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2025-06-21T09:49:00Z</dcterms:created>
  <dc:creator>Erwin Dreesen</dc:creator>
  <dc:description/>
  <dc:language>en-US</dc:language>
  <cp:lastModifiedBy/>
  <dcterms:modified xsi:type="dcterms:W3CDTF">2025-12-01T01:05:26Z</dcterms:modified>
  <cp:revision>738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74f7c718-95d4-4296-8f52-b7effb4326c2</vt:lpwstr>
  </property>
</Properties>
</file>