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p>
    <w:p>
      <w:pPr>
        <w:spacing w:after="80" w:before="0"/>
        <w:jc w:val="center"/>
      </w:pPr>
      <w:r>
        <w:rPr>
          <w:rFonts w:ascii="Arial" w:cs="Arial" w:eastAsia="Arial" w:hAnsi="Arial"/>
          <w:b/>
          <w:bCs/>
          <w:color w:val="1B3A5C"/>
          <w:sz w:val="52"/>
          <w:szCs w:val="52"/>
        </w:rPr>
        <w:t xml:space="preserve">LEADERSHIP THROUGH TRANSITION</w:t>
      </w:r>
    </w:p>
    <w:p>
      <w:pPr>
        <w:spacing w:after="60" w:before="0"/>
        <w:jc w:val="center"/>
      </w:pPr>
      <w:r>
        <w:rPr>
          <w:rFonts w:ascii="Arial" w:cs="Arial" w:eastAsia="Arial" w:hAnsi="Arial"/>
          <w:b w:val="false"/>
          <w:bCs w:val="false"/>
          <w:i/>
          <w:iCs/>
          <w:color w:val="8B6914"/>
          <w:sz w:val="38"/>
          <w:szCs w:val="38"/>
        </w:rPr>
        <w:t xml:space="preserve">Book Entry Blueprint</w:t>
      </w:r>
    </w:p>
    <w:p>
      <w:pPr>
        <w:pBdr>
          <w:bottom w:val="single" w:color="C5D5E8" w:sz="6" w:space="1"/>
        </w:pBdr>
        <w:spacing w:after="160" w:before="160"/>
      </w:pPr>
    </w:p>
    <w:p>
      <w:pPr>
        <w:spacing w:after="40" w:before="80"/>
        <w:jc w:val="center"/>
      </w:pPr>
      <w:r>
        <w:rPr>
          <w:rFonts w:ascii="Arial" w:cs="Arial" w:eastAsia="Arial" w:hAnsi="Arial"/>
          <w:color w:val="444444"/>
          <w:sz w:val="24"/>
          <w:szCs w:val="24"/>
        </w:rPr>
        <w:t xml:space="preserve">The Master Template for Every Book Page</w:t>
      </w:r>
    </w:p>
    <w:p>
      <w:pPr>
        <w:spacing w:after="0" w:before="40"/>
        <w:jc w:val="center"/>
      </w:pPr>
      <w:r>
        <w:rPr>
          <w:rFonts w:ascii="Arial" w:cs="Arial" w:eastAsia="Arial" w:hAnsi="Arial"/>
          <w:i/>
          <w:iCs/>
          <w:color w:val="888888"/>
          <w:sz w:val="18"/>
          <w:szCs w:val="18"/>
        </w:rPr>
        <w:t xml:space="preserve">Derived from: Project Constitution  •  Voice &amp; Style Guide  •  Taxonomy &amp; Content Standards  •  Library Architecture  •  Editorial Canon Guide</w:t>
      </w:r>
    </w:p>
    <w:p>
      <w:pPr>
        <w:spacing w:after="0" w:before="20"/>
        <w:jc w:val="center"/>
      </w:pPr>
      <w:r>
        <w:rPr>
          <w:rFonts w:ascii="Arial" w:cs="Arial" w:eastAsia="Arial" w:hAnsi="Arial"/>
          <w:i/>
          <w:iCs/>
          <w:color w:val="888888"/>
          <w:sz w:val="18"/>
          <w:szCs w:val="18"/>
        </w:rPr>
        <w:t xml:space="preserve">Version 1.0  •  June 2025</w:t>
      </w:r>
    </w:p>
    <w:p>
      <w:r>
        <w:br w:type="page"/>
      </w:r>
    </w:p>
    <w:p>
      <w:pPr>
        <w:pStyle w:val="Heading1"/>
        <w:spacing w:after="160" w:before="360"/>
      </w:pPr>
      <w:r>
        <w:rPr>
          <w:rFonts w:ascii="Arial" w:cs="Arial" w:eastAsia="Arial" w:hAnsi="Arial"/>
          <w:b/>
          <w:bCs/>
          <w:color w:val="1B3A5C"/>
          <w:sz w:val="36"/>
          <w:szCs w:val="36"/>
        </w:rPr>
        <w:t xml:space="preserve">Purpose of This Blueprint</w:t>
      </w:r>
    </w:p>
    <w:p>
      <w:pPr>
        <w:spacing w:after="60" w:before="60"/>
      </w:pPr>
      <w:r>
        <w:rPr>
          <w:rFonts w:ascii="Arial" w:cs="Arial" w:eastAsia="Arial" w:hAnsi="Arial"/>
          <w:b w:val="false"/>
          <w:bCs w:val="false"/>
          <w:i w:val="false"/>
          <w:iCs w:val="false"/>
          <w:color w:val="1A1A1A"/>
          <w:sz w:val="21"/>
          <w:szCs w:val="21"/>
        </w:rPr>
        <w:t xml:space="preserve">This document is the definitive standard for every book entry published on Leadership Through Transition. It defines exactly what each entry must contain, how each section should be written, what length it should reach, and what quality it must clear before publication.</w:t>
      </w:r>
    </w:p>
    <w:p>
      <w:pPr>
        <w:spacing w:after="60" w:before="60"/>
      </w:pPr>
      <w:r>
        <w:rPr>
          <w:rFonts w:ascii="Arial" w:cs="Arial" w:eastAsia="Arial" w:hAnsi="Arial"/>
          <w:b w:val="false"/>
          <w:bCs w:val="false"/>
          <w:i w:val="false"/>
          <w:iCs w:val="false"/>
          <w:color w:val="1A1A1A"/>
          <w:sz w:val="21"/>
          <w:szCs w:val="21"/>
        </w:rPr>
        <w:t xml:space="preserve">It is not a creative starting point. It is a contract with the reader — a promise that every entry on this platform will be built to the same standard of depth, voice, and practical usefulness.</w:t>
      </w:r>
    </w:p>
    <w:p>
      <w:pPr>
        <w:spacing w:after="60" w:before="60"/>
      </w:pPr>
      <w:r>
        <w:rPr>
          <w:rFonts w:ascii="Arial" w:cs="Arial" w:eastAsia="Arial" w:hAnsi="Arial"/>
          <w:b w:val="false"/>
          <w:bCs w:val="false"/>
          <w:i w:val="false"/>
          <w:iCs w:val="false"/>
          <w:color w:val="1A1A1A"/>
          <w:sz w:val="21"/>
          <w:szCs w:val="21"/>
        </w:rPr>
        <w:t xml:space="preserve">The blueprint has two parts. Part One defines the specifications. Part Two provides a fully annotated example showing what 'excellent' looks like for every section.</w:t>
      </w:r>
    </w:p>
    <w:p>
      <w:pPr>
        <w:pBdr>
          <w:bottom w:val="single" w:color="C5D5E8" w:sz="4" w:space="1"/>
        </w:pBdr>
        <w:spacing w:after="160" w:before="160"/>
      </w:pPr>
    </w:p>
    <w:p>
      <w:pPr>
        <w:pStyle w:val="Heading2"/>
        <w:spacing w:after="120" w:before="280"/>
      </w:pPr>
      <w:r>
        <w:rPr>
          <w:rFonts w:ascii="Arial" w:cs="Arial" w:eastAsia="Arial" w:hAnsi="Arial"/>
          <w:b/>
          <w:bCs/>
          <w:color w:val="1B3A5C"/>
          <w:sz w:val="27"/>
          <w:szCs w:val="27"/>
        </w:rPr>
        <w:t xml:space="preserve">Governing Philosophy</w:t>
      </w:r>
    </w:p>
    <w:p>
      <w:pPr>
        <w:spacing w:after="60" w:before="60"/>
      </w:pPr>
      <w:r>
        <w:rPr>
          <w:rFonts w:ascii="Arial" w:cs="Arial" w:eastAsia="Arial" w:hAnsi="Arial"/>
          <w:b w:val="false"/>
          <w:bCs w:val="false"/>
          <w:i w:val="false"/>
          <w:iCs w:val="false"/>
          <w:color w:val="1A1A1A"/>
          <w:sz w:val="21"/>
          <w:szCs w:val="21"/>
        </w:rPr>
        <w:t xml:space="preserve">Every decision in this blueprint flows from three governing principles that are not negotiable:</w:t>
      </w:r>
    </w:p>
    <w:p>
      <w:pPr>
        <w:spacing w:after="0" w:before="40"/>
      </w:pPr>
    </w:p>
    <w:p>
      <w:pPr>
        <w:spacing w:after="60" w:before="60"/>
      </w:pPr>
      <w:r>
        <w:rPr>
          <w:rFonts w:ascii="Arial" w:cs="Arial" w:eastAsia="Arial" w:hAnsi="Arial"/>
          <w:b/>
          <w:bCs/>
          <w:i w:val="false"/>
          <w:iCs w:val="false"/>
          <w:color w:val="1B3A5C"/>
          <w:sz w:val="21"/>
          <w:szCs w:val="21"/>
        </w:rPr>
        <w:t xml:space="preserve">This platform is not a book summary service. </w:t>
      </w:r>
      <w:r>
        <w:rPr>
          <w:rFonts w:ascii="Arial" w:cs="Arial" w:eastAsia="Arial" w:hAnsi="Arial"/>
          <w:b w:val="false"/>
          <w:bCs w:val="false"/>
          <w:i w:val="false"/>
          <w:iCs w:val="false"/>
          <w:color w:val="1A1A1A"/>
          <w:sz w:val="21"/>
          <w:szCs w:val="21"/>
        </w:rPr>
        <w:t xml:space="preserve">Readers come here to understand themselves, their leadership, and their transition — not to learn what a book contains. Book analysis serves that purpose. It does not replace it.</w:t>
      </w:r>
    </w:p>
    <w:p>
      <w:pPr>
        <w:spacing w:after="60" w:before="60"/>
      </w:pPr>
      <w:r>
        <w:rPr>
          <w:rFonts w:ascii="Arial" w:cs="Arial" w:eastAsia="Arial" w:hAnsi="Arial"/>
          <w:b/>
          <w:bCs/>
          <w:i w:val="false"/>
          <w:iCs w:val="false"/>
          <w:color w:val="1B3A5C"/>
          <w:sz w:val="21"/>
          <w:szCs w:val="21"/>
        </w:rPr>
        <w:t xml:space="preserve">Every entry must answer three questions. </w:t>
      </w:r>
      <w:r>
        <w:rPr>
          <w:rFonts w:ascii="Arial" w:cs="Arial" w:eastAsia="Arial" w:hAnsi="Arial"/>
          <w:b w:val="false"/>
          <w:bCs w:val="false"/>
          <w:i w:val="false"/>
          <w:iCs w:val="false"/>
          <w:color w:val="1A1A1A"/>
          <w:sz w:val="21"/>
          <w:szCs w:val="21"/>
        </w:rPr>
        <w:t xml:space="preserve">What did the author teach? Why does it matter for leadership? How does it apply to major life transitions? An entry that cannot answer all three is incomplete, regardless of how well-written it is.</w:t>
      </w:r>
    </w:p>
    <w:p>
      <w:pPr>
        <w:spacing w:after="60" w:before="60"/>
      </w:pPr>
      <w:r>
        <w:rPr>
          <w:rFonts w:ascii="Arial" w:cs="Arial" w:eastAsia="Arial" w:hAnsi="Arial"/>
          <w:b/>
          <w:bCs/>
          <w:i w:val="false"/>
          <w:iCs w:val="false"/>
          <w:color w:val="1B3A5C"/>
          <w:sz w:val="21"/>
          <w:szCs w:val="21"/>
        </w:rPr>
        <w:t xml:space="preserve">Readers should feel equipped, not inspired. </w:t>
      </w:r>
      <w:r>
        <w:rPr>
          <w:rFonts w:ascii="Arial" w:cs="Arial" w:eastAsia="Arial" w:hAnsi="Arial"/>
          <w:b w:val="false"/>
          <w:bCs w:val="false"/>
          <w:i w:val="false"/>
          <w:iCs w:val="false"/>
          <w:color w:val="1A1A1A"/>
          <w:sz w:val="21"/>
          <w:szCs w:val="21"/>
        </w:rPr>
        <w:t xml:space="preserve">The goal is sustainable reflection — practical wisdom the reader can use — not temporary motivation. If an entry reads like a motivational speech, rewrite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60"/>
              <w:left w:type="dxa" w:w="280"/>
              <w:bottom w:type="dxa" w:w="120"/>
              <w:right w:type="dxa" w:w="280"/>
            </w:tcMar>
          </w:tcPr>
          <w:p>
            <w:r>
              <w:rPr>
                <w:rFonts w:ascii="Arial" w:cs="Arial" w:eastAsia="Arial" w:hAnsi="Arial"/>
                <w:b/>
                <w:bCs/>
                <w:color w:val="FFFFFF"/>
                <w:sz w:val="30"/>
                <w:szCs w:val="30"/>
              </w:rPr>
              <w:t xml:space="preserve">PART ONE</w:t>
            </w:r>
          </w:p>
          <w:p>
            <w:pPr>
              <w:spacing w:before="40"/>
            </w:pPr>
            <w:r>
              <w:rPr>
                <w:rFonts w:ascii="Arial" w:cs="Arial" w:eastAsia="Arial" w:hAnsi="Arial"/>
                <w:i/>
                <w:iCs/>
                <w:color w:val="D0DCE8"/>
                <w:sz w:val="20"/>
                <w:szCs w:val="20"/>
              </w:rPr>
              <w:t xml:space="preserve">Specifications — Page Structure, Required Sections, and Writing Standards</w:t>
            </w:r>
          </w:p>
        </w:tc>
      </w:tr>
    </w:tbl>
    <w:p>
      <w:pPr>
        <w:spacing w:after="0" w:before="160"/>
      </w:pPr>
    </w:p>
    <w:p>
      <w:pPr>
        <w:pStyle w:val="Heading1"/>
        <w:spacing w:after="160" w:before="360"/>
      </w:pPr>
      <w:r>
        <w:rPr>
          <w:rFonts w:ascii="Arial" w:cs="Arial" w:eastAsia="Arial" w:hAnsi="Arial"/>
          <w:b/>
          <w:bCs/>
          <w:color w:val="1B3A5C"/>
          <w:sz w:val="36"/>
          <w:szCs w:val="36"/>
        </w:rPr>
        <w:t xml:space="preserve">1.  Page Structure Overview</w:t>
      </w:r>
    </w:p>
    <w:p>
      <w:pPr>
        <w:spacing w:after="60" w:before="60"/>
      </w:pPr>
      <w:r>
        <w:rPr>
          <w:rFonts w:ascii="Arial" w:cs="Arial" w:eastAsia="Arial" w:hAnsi="Arial"/>
          <w:b w:val="false"/>
          <w:bCs w:val="false"/>
          <w:i w:val="false"/>
          <w:iCs w:val="false"/>
          <w:color w:val="1A1A1A"/>
          <w:sz w:val="21"/>
          <w:szCs w:val="21"/>
        </w:rPr>
        <w:t xml:space="preserve">Every book entry follows this exact structure. No section may be omitted. No section may be reordered. The sequence is intentional — it moves the reader from context through insight through application through reflection.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520"/>
        <w:gridCol w:w="3720"/>
        <w:gridCol w:w="1800"/>
      </w:tblGrid>
      <w:tr>
        <w:tc>
          <w:tcPr>
            <w:tcW w:type="dxa" w:w="132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Layer</w:t>
            </w:r>
          </w:p>
        </w:tc>
        <w:tc>
          <w:tcPr>
            <w:tcW w:type="dxa" w:w="252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Section</w:t>
            </w:r>
          </w:p>
        </w:tc>
        <w:tc>
          <w:tcPr>
            <w:tcW w:type="dxa" w:w="372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Function</w:t>
            </w:r>
          </w:p>
        </w:tc>
        <w:tc>
          <w:tcPr>
            <w:tcW w:type="dxa" w:w="1800"/>
            <w:tcBorders>
              <w:top w:val="single" w:color="CCCCCC" w:sz="1"/>
              <w:left w:val="single" w:color="CCCCCC" w:sz="1"/>
              <w:bottom w:val="single" w:color="CCCCCC" w:sz="1"/>
              <w:right w:val="single" w:color="CCCCCC" w:sz="1"/>
            </w:tcBorders>
            <w:shd w:fill="1B3A5C" w:val="clear"/>
            <w:tcMar>
              <w:top w:type="dxa" w:w="70"/>
              <w:left w:type="dxa" w:w="110"/>
              <w:bottom w:type="dxa" w:w="70"/>
              <w:right w:type="dxa" w:w="110"/>
            </w:tcMar>
          </w:tcPr>
          <w:p>
            <w:r>
              <w:rPr>
                <w:rFonts w:ascii="Arial" w:cs="Arial" w:eastAsia="Arial" w:hAnsi="Arial"/>
                <w:b/>
                <w:bCs/>
                <w:color w:val="FFFFFF"/>
                <w:sz w:val="18"/>
                <w:szCs w:val="18"/>
              </w:rPr>
              <w:t xml:space="preserve">Position</w:t>
            </w:r>
          </w:p>
        </w:tc>
      </w:tr>
      <w:tr>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Metadata</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Book Header Block</w:t>
            </w:r>
          </w:p>
        </w:tc>
        <w:tc>
          <w:tcPr>
            <w:tcW w:type="dxa" w:w="3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Identification and discoverability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Top — before all content</w:t>
            </w:r>
          </w:p>
        </w:tc>
      </w:tr>
      <w:tr>
        <w:tc>
          <w:tcPr>
            <w:tcW w:type="dxa" w:w="13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Metadata</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Taxonomy Tags</w:t>
            </w:r>
          </w:p>
        </w:tc>
        <w:tc>
          <w:tcPr>
            <w:tcW w:type="dxa" w:w="37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Categorization and search</w:t>
            </w:r>
          </w:p>
        </w:tc>
        <w:tc>
          <w:tcPr>
            <w:tcW w:type="dxa" w:w="18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Below header, before body</w:t>
            </w:r>
          </w:p>
        </w:tc>
      </w:tr>
      <w:tr>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Opening Hook</w:t>
            </w:r>
          </w:p>
        </w:tc>
        <w:tc>
          <w:tcPr>
            <w:tcW w:type="dxa" w:w="3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Reader orientation and entry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1</w:t>
            </w:r>
          </w:p>
        </w:tc>
      </w:tr>
      <w:tr>
        <w:tc>
          <w:tcPr>
            <w:tcW w:type="dxa" w:w="13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Book Analysis</w:t>
            </w:r>
          </w:p>
        </w:tc>
        <w:tc>
          <w:tcPr>
            <w:tcW w:type="dxa" w:w="37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What the author taught</w:t>
            </w:r>
          </w:p>
        </w:tc>
        <w:tc>
          <w:tcPr>
            <w:tcW w:type="dxa" w:w="18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2</w:t>
            </w:r>
          </w:p>
        </w:tc>
      </w:tr>
      <w:tr>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Leadership Transition Commentary</w:t>
            </w:r>
          </w:p>
        </w:tc>
        <w:tc>
          <w:tcPr>
            <w:tcW w:type="dxa" w:w="3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Why it matters for this reader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3</w:t>
            </w:r>
          </w:p>
        </w:tc>
      </w:tr>
      <w:tr>
        <w:tc>
          <w:tcPr>
            <w:tcW w:type="dxa" w:w="13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Practical Applications</w:t>
            </w:r>
          </w:p>
        </w:tc>
        <w:tc>
          <w:tcPr>
            <w:tcW w:type="dxa" w:w="37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How to use it now</w:t>
            </w:r>
          </w:p>
        </w:tc>
        <w:tc>
          <w:tcPr>
            <w:tcW w:type="dxa" w:w="18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4</w:t>
            </w:r>
          </w:p>
        </w:tc>
      </w:tr>
      <w:tr>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Reflection Questions</w:t>
            </w:r>
          </w:p>
        </w:tc>
        <w:tc>
          <w:tcPr>
            <w:tcW w:type="dxa" w:w="3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Guided self-examination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5</w:t>
            </w:r>
          </w:p>
        </w:tc>
      </w:tr>
      <w:tr>
        <w:tc>
          <w:tcPr>
            <w:tcW w:type="dxa" w:w="13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Cross-Book Wisdom Connections</w:t>
            </w:r>
          </w:p>
        </w:tc>
        <w:tc>
          <w:tcPr>
            <w:tcW w:type="dxa" w:w="37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Library connective tissue</w:t>
            </w:r>
          </w:p>
        </w:tc>
        <w:tc>
          <w:tcPr>
            <w:tcW w:type="dxa" w:w="18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6</w:t>
            </w:r>
          </w:p>
        </w:tc>
      </w:tr>
      <w:tr>
        <w:tc>
          <w:tcPr>
            <w:tcW w:type="dxa" w:w="13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Content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Closing Reflection</w:t>
            </w:r>
          </w:p>
        </w:tc>
        <w:tc>
          <w:tcPr>
            <w:tcW w:type="dxa" w:w="37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Perspective and send-off</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Arial" w:cs="Arial" w:eastAsia="Arial" w:hAnsi="Arial"/>
                <w:b w:val="false"/>
                <w:bCs w:val="false"/>
                <w:color w:val="1A1A1A"/>
                <w:sz w:val="19"/>
                <w:szCs w:val="19"/>
              </w:rPr>
              <w:t xml:space="preserve">Section 7</w:t>
            </w:r>
          </w:p>
        </w:tc>
      </w:tr>
      <w:tr>
        <w:tc>
          <w:tcPr>
            <w:tcW w:type="dxa" w:w="13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Metadata</w:t>
            </w:r>
          </w:p>
        </w:tc>
        <w:tc>
          <w:tcPr>
            <w:tcW w:type="dxa" w:w="25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Related Books</w:t>
            </w:r>
          </w:p>
        </w:tc>
        <w:tc>
          <w:tcPr>
            <w:tcW w:type="dxa" w:w="372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Navigation and discovery</w:t>
            </w:r>
          </w:p>
        </w:tc>
        <w:tc>
          <w:tcPr>
            <w:tcW w:type="dxa" w:w="1800"/>
            <w:tcBorders>
              <w:top w:val="single" w:color="CCCCCC" w:sz="1"/>
              <w:left w:val="single" w:color="CCCCCC" w:sz="1"/>
              <w:bottom w:val="single" w:color="CCCCCC" w:sz="1"/>
              <w:right w:val="single" w:color="CCCCCC" w:sz="1"/>
            </w:tcBorders>
            <w:shd w:fill="EBF0F6" w:val="clear"/>
            <w:tcMar>
              <w:top w:type="dxa" w:w="70"/>
              <w:left w:type="dxa" w:w="110"/>
              <w:bottom w:type="dxa" w:w="70"/>
              <w:right w:type="dxa" w:w="110"/>
            </w:tcMar>
          </w:tcPr>
          <w:p>
            <w:r>
              <w:rPr>
                <w:rFonts w:ascii="Arial" w:cs="Arial" w:eastAsia="Arial" w:hAnsi="Arial"/>
                <w:b w:val="false"/>
                <w:bCs w:val="false"/>
                <w:color w:val="1A1A1A"/>
                <w:sz w:val="19"/>
                <w:szCs w:val="19"/>
              </w:rPr>
              <w:t xml:space="preserve">End — after all content</w:t>
            </w:r>
          </w:p>
        </w:tc>
      </w:tr>
    </w:tbl>
    <w:p>
      <w:pPr>
        <w:spacing w:after="0" w:before="120"/>
      </w:pPr>
    </w:p>
    <w:p>
      <w:pPr>
        <w:spacing w:after="80" w:before="200"/>
      </w:pPr>
      <w:r>
        <w:rPr>
          <w:rFonts w:ascii="Arial" w:cs="Arial" w:eastAsia="Arial" w:hAnsi="Arial"/>
          <w:b/>
          <w:bCs/>
          <w:color w:val="1B3A5C"/>
          <w:sz w:val="23"/>
          <w:szCs w:val="23"/>
        </w:rPr>
        <w:t xml:space="preserve">Total Entry Length</w:t>
      </w:r>
    </w:p>
    <w:p>
      <w:pPr>
        <w:spacing w:after="60" w:before="60"/>
      </w:pPr>
      <w:r>
        <w:rPr>
          <w:rFonts w:ascii="Arial" w:cs="Arial" w:eastAsia="Arial" w:hAnsi="Arial"/>
          <w:b w:val="false"/>
          <w:bCs w:val="false"/>
          <w:i w:val="false"/>
          <w:iCs w:val="false"/>
          <w:color w:val="1A1A1A"/>
          <w:sz w:val="21"/>
          <w:szCs w:val="21"/>
        </w:rPr>
        <w:t xml:space="preserve">A complete book entry runs between 1,200 and 2,000 words of body content, exclusive of metadata. Entries for Advanced and Specialized books may run shorter (900–1,400 words) where the commentary, not the analysis, carries the entry. Entries for Foundational Canon books may run toward the upper end where the philosophical depth warrants it. Length is never a goal in itself — an entry is complete when it answers all three quality questions with clarity and application, not when it reaches a word count.</w:t>
      </w:r>
    </w:p>
    <w:p>
      <w:r>
        <w:br w:type="page"/>
      </w:r>
    </w:p>
    <w:p>
      <w:pPr>
        <w:pStyle w:val="Heading1"/>
        <w:spacing w:after="160" w:before="360"/>
      </w:pPr>
      <w:r>
        <w:rPr>
          <w:rFonts w:ascii="Arial" w:cs="Arial" w:eastAsia="Arial" w:hAnsi="Arial"/>
          <w:b/>
          <w:bCs/>
          <w:color w:val="1B3A5C"/>
          <w:sz w:val="36"/>
          <w:szCs w:val="36"/>
        </w:rPr>
        <w:t xml:space="preserve">2.  Metadata Requirements</w:t>
      </w:r>
    </w:p>
    <w:p>
      <w:pPr>
        <w:spacing w:after="60" w:before="60"/>
      </w:pPr>
      <w:r>
        <w:rPr>
          <w:rFonts w:ascii="Arial" w:cs="Arial" w:eastAsia="Arial" w:hAnsi="Arial"/>
          <w:b w:val="false"/>
          <w:bCs w:val="false"/>
          <w:i w:val="false"/>
          <w:iCs w:val="false"/>
          <w:color w:val="1A1A1A"/>
          <w:sz w:val="21"/>
          <w:szCs w:val="21"/>
        </w:rPr>
        <w:t xml:space="preserve">Every entry requires two distinct metadata components: the Book Header Block (visible to readers at the top of every page) and the Taxonomy Tags (used for categorization, search, and the Cross-Book Wisdom Engine).</w:t>
      </w:r>
    </w:p>
    <w:p>
      <w:pPr>
        <w:spacing w:after="0" w:before="80"/>
      </w:pPr>
    </w:p>
    <w:p>
      <w:pPr>
        <w:pStyle w:val="Heading2"/>
        <w:spacing w:after="120" w:before="280"/>
      </w:pPr>
      <w:r>
        <w:rPr>
          <w:rFonts w:ascii="Arial" w:cs="Arial" w:eastAsia="Arial" w:hAnsi="Arial"/>
          <w:b/>
          <w:bCs/>
          <w:color w:val="1B3A5C"/>
          <w:sz w:val="27"/>
          <w:szCs w:val="27"/>
        </w:rPr>
        <w:t xml:space="preserve">2A.  Book Header Block</w:t>
      </w:r>
    </w:p>
    <w:p>
      <w:pPr>
        <w:spacing w:after="60" w:before="60"/>
      </w:pPr>
      <w:r>
        <w:rPr>
          <w:rFonts w:ascii="Arial" w:cs="Arial" w:eastAsia="Arial" w:hAnsi="Arial"/>
          <w:b w:val="false"/>
          <w:bCs w:val="false"/>
          <w:i w:val="false"/>
          <w:iCs w:val="false"/>
          <w:color w:val="1A1A1A"/>
          <w:sz w:val="21"/>
          <w:szCs w:val="21"/>
        </w:rPr>
        <w:t xml:space="preserve">The header block is the first thing a reader sees. It must orient them immediately — title, author, year, and a single-sentence description of the book's central argument as it applies to this platform. Not a jacket blurb. Not a category label. A single sentence that tells the reader what this book is for.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Title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Full title, exact spelling, including subtitle if the subtitle is substantive.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Author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Full name(s). For institutional authors (e.g., The Arbinger Institute), use the credited name.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Year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Original publication year. Not reprint, revised edition, or translation year.</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Description</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One sentence. States what the book argues, not what it contains. Written in plain language. Maximum 30 words. This is the reader's first impression of the entry — write it accordingly.</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Library Tier</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Core / Supporting / Advanced / Specialized — per the Library Architecture Document.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Canon Status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List applicable canons: Foundational, Core Leadership, Core Transition, Philosophy &amp; Meaning, Military Leadership. Leave blank for non-canon books.</w:t>
            </w:r>
          </w:p>
        </w:tc>
      </w:tr>
    </w:tbl>
    <w:p>
      <w:pPr>
        <w:spacing w:after="0" w:before="120"/>
      </w:pPr>
    </w:p>
    <w:p>
      <w:pPr>
        <w:pStyle w:val="Heading2"/>
        <w:spacing w:after="120" w:before="280"/>
      </w:pPr>
      <w:r>
        <w:rPr>
          <w:rFonts w:ascii="Arial" w:cs="Arial" w:eastAsia="Arial" w:hAnsi="Arial"/>
          <w:b/>
          <w:bCs/>
          <w:color w:val="1B3A5C"/>
          <w:sz w:val="27"/>
          <w:szCs w:val="27"/>
        </w:rPr>
        <w:t xml:space="preserve">2B.  Taxonomy Tags</w:t>
      </w:r>
    </w:p>
    <w:p>
      <w:pPr>
        <w:spacing w:after="60" w:before="60"/>
      </w:pPr>
      <w:r>
        <w:rPr>
          <w:rFonts w:ascii="Arial" w:cs="Arial" w:eastAsia="Arial" w:hAnsi="Arial"/>
          <w:b w:val="false"/>
          <w:bCs w:val="false"/>
          <w:i w:val="false"/>
          <w:iCs w:val="false"/>
          <w:color w:val="1A1A1A"/>
          <w:sz w:val="21"/>
          <w:szCs w:val="21"/>
        </w:rPr>
        <w:t xml:space="preserve">Taxonomy tags power the platform's search, filtering, and cross-book connections. Use only approved values from the Taxonomy &amp; Content Standards Guide. Do not create new tags without editorial review.</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Categories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1–3 categories from the approved list. Most entries warrant 1–2. The order signals primary emphasis.</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Leadership Themes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3–7 themes from the approved list. More than 7 signals imprecision — tighten the selection. Themes must genuinely appear in the book, not be aspirationally assigned.</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Transition Themes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2–5 themes from the approved list. Prioritize themes most relevant to the primary reader. Specialized books may have fewer.</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Reading Pathways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1–5 pathways from the approved list. Each pathway listed must be one where this book genuinely fits, not simply where it could be useful.</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Cross-Book Wisdom Themes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2–6 themes from the approved 15-theme list. These drive the Wisdom Engine — assign them precisely. The standard: would a reader who explored this wisdom theme through other books find this entry a meaningful addition to that thread?</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Key Lessons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3–5 lessons, each stated as a complete sentence. Not chapter titles. Not bullet fragments. Full declarative statements of what the reader will take away.</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Related Books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3–5 titles from within the LTT library. See Section 8 for selection criteria.</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Search Keywords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5–10 lowercase keywords or phrases. Think: what would a reader type to find this book?</w:t>
            </w:r>
          </w:p>
        </w:tc>
      </w:tr>
    </w:tbl>
    <w:p>
      <w:r>
        <w:br w:type="page"/>
      </w:r>
    </w:p>
    <w:p>
      <w:pPr>
        <w:pStyle w:val="Heading1"/>
        <w:spacing w:after="160" w:before="360"/>
      </w:pPr>
      <w:r>
        <w:rPr>
          <w:rFonts w:ascii="Arial" w:cs="Arial" w:eastAsia="Arial" w:hAnsi="Arial"/>
          <w:b/>
          <w:bCs/>
          <w:color w:val="1B3A5C"/>
          <w:sz w:val="36"/>
          <w:szCs w:val="36"/>
        </w:rPr>
        <w:t xml:space="preserve">3.  Section Specifications</w:t>
      </w:r>
    </w:p>
    <w:p>
      <w:pPr>
        <w:spacing w:after="60" w:before="60"/>
      </w:pPr>
      <w:r>
        <w:rPr>
          <w:rFonts w:ascii="Arial" w:cs="Arial" w:eastAsia="Arial" w:hAnsi="Arial"/>
          <w:b w:val="false"/>
          <w:bCs w:val="false"/>
          <w:i w:val="false"/>
          <w:iCs w:val="false"/>
          <w:color w:val="1A1A1A"/>
          <w:sz w:val="21"/>
          <w:szCs w:val="21"/>
        </w:rPr>
        <w:t xml:space="preserve">What follows is the complete specification for every content section. Each specification defines the section's purpose, required elements, target length, voice standard, and what failure looks like. Read the failure description before writing — it is easier to recognize the wrong approach than to describe the right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4A5C" w:val="clear"/>
            <w:tcMar>
              <w:top w:type="dxa" w:w="160"/>
              <w:left w:type="dxa" w:w="280"/>
              <w:bottom w:type="dxa" w:w="120"/>
              <w:right w:type="dxa" w:w="280"/>
            </w:tcMar>
          </w:tcPr>
          <w:p>
            <w:r>
              <w:rPr>
                <w:rFonts w:ascii="Arial" w:cs="Arial" w:eastAsia="Arial" w:hAnsi="Arial"/>
                <w:b/>
                <w:bCs/>
                <w:color w:val="FFFFFF"/>
                <w:sz w:val="30"/>
                <w:szCs w:val="30"/>
              </w:rPr>
              <w:t xml:space="preserve">Section 1  |  Opening Hook</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pull the reader into the entry without summarizing it. The opening hook names the experience the reader is likely having and positions the book as a response to it — not an answer, but a companion. It earns the reader's attention before asking for their trust.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75–150 words. Two to four paragraphs. The shortest section in the entry.</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Must include:</w:t>
            </w:r>
          </w:p>
          <w:p>
            <w:pPr>
              <w:pStyle w:val="ListParagraph"/>
              <w:numPr>
                <w:ilvl w:val="0"/>
                <w:numId w:val="2"/>
              </w:numPr>
              <w:spacing w:after="30" w:before="30"/>
            </w:pPr>
            <w:r>
              <w:rPr>
                <w:rFonts w:ascii="Arial" w:cs="Arial" w:eastAsia="Arial" w:hAnsi="Arial"/>
                <w:color w:val="1A1A1A"/>
                <w:sz w:val="19"/>
                <w:szCs w:val="19"/>
              </w:rPr>
              <w:t xml:space="preserve">An observation about the transition experience that the reader will recognize as their own</w:t>
            </w:r>
          </w:p>
          <w:p>
            <w:pPr>
              <w:pStyle w:val="ListParagraph"/>
              <w:numPr>
                <w:ilvl w:val="0"/>
                <w:numId w:val="2"/>
              </w:numPr>
              <w:spacing w:after="30" w:before="30"/>
            </w:pPr>
            <w:r>
              <w:rPr>
                <w:rFonts w:ascii="Arial" w:cs="Arial" w:eastAsia="Arial" w:hAnsi="Arial"/>
                <w:color w:val="1A1A1A"/>
                <w:sz w:val="19"/>
                <w:szCs w:val="19"/>
              </w:rPr>
              <w:t xml:space="preserve">A natural bridge to why this particular book matters now</w:t>
            </w:r>
          </w:p>
          <w:p>
            <w:pPr>
              <w:pStyle w:val="ListParagraph"/>
              <w:numPr>
                <w:ilvl w:val="0"/>
                <w:numId w:val="2"/>
              </w:numPr>
              <w:spacing w:after="30" w:before="30"/>
            </w:pPr>
            <w:r>
              <w:rPr>
                <w:rFonts w:ascii="Arial" w:cs="Arial" w:eastAsia="Arial" w:hAnsi="Arial"/>
                <w:color w:val="1A1A1A"/>
                <w:sz w:val="19"/>
                <w:szCs w:val="19"/>
              </w:rPr>
              <w:t xml:space="preserve">A tone that is neither clinical nor excited — measured, grounded, honest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Voice Standard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Conversational. Written as if the author is speaking directly to someone sitting across a table. The reader should recognize themselves in the first paragraph.</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Opening with the book's publication history, the author's credentials, or a general observation about leadership. Any opening that could apply to any book is a failed opening.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C5C5A" w:val="clear"/>
            <w:tcMar>
              <w:top w:type="dxa" w:w="160"/>
              <w:left w:type="dxa" w:w="280"/>
              <w:bottom w:type="dxa" w:w="120"/>
              <w:right w:type="dxa" w:w="280"/>
            </w:tcMar>
          </w:tcPr>
          <w:p>
            <w:r>
              <w:rPr>
                <w:rFonts w:ascii="Arial" w:cs="Arial" w:eastAsia="Arial" w:hAnsi="Arial"/>
                <w:b/>
                <w:bCs/>
                <w:color w:val="FFFFFF"/>
                <w:sz w:val="30"/>
                <w:szCs w:val="30"/>
              </w:rPr>
              <w:t xml:space="preserve">Section 2  |  Book Analysis</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convey what the author argues, what framework or insight they build, and what evidence or narrative supports it — in enough depth that the reader understands the book's central contribution without having to read it, but with enough intellectual honesty that they will want to.</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300–450 words. The longest analytical section. Does not need to cover every chapter — it needs to convey the book's essential argument and the reasoning behind it.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Must include:</w:t>
            </w:r>
          </w:p>
          <w:p>
            <w:pPr>
              <w:pStyle w:val="ListParagraph"/>
              <w:numPr>
                <w:ilvl w:val="0"/>
                <w:numId w:val="2"/>
              </w:numPr>
              <w:spacing w:after="30" w:before="30"/>
            </w:pPr>
            <w:r>
              <w:rPr>
                <w:rFonts w:ascii="Arial" w:cs="Arial" w:eastAsia="Arial" w:hAnsi="Arial"/>
                <w:color w:val="1A1A1A"/>
                <w:sz w:val="19"/>
                <w:szCs w:val="19"/>
              </w:rPr>
              <w:t xml:space="preserve">The book's central argument or thesis, stated plainly in the entry author's own words</w:t>
            </w:r>
          </w:p>
          <w:p>
            <w:pPr>
              <w:pStyle w:val="ListParagraph"/>
              <w:numPr>
                <w:ilvl w:val="0"/>
                <w:numId w:val="2"/>
              </w:numPr>
              <w:spacing w:after="30" w:before="30"/>
            </w:pPr>
            <w:r>
              <w:rPr>
                <w:rFonts w:ascii="Arial" w:cs="Arial" w:eastAsia="Arial" w:hAnsi="Arial"/>
                <w:color w:val="1A1A1A"/>
                <w:sz w:val="19"/>
                <w:szCs w:val="19"/>
              </w:rPr>
              <w:t xml:space="preserve">The 2–3 most important ideas, frameworks, or concepts the book introduces</w:t>
            </w:r>
          </w:p>
          <w:p>
            <w:pPr>
              <w:pStyle w:val="ListParagraph"/>
              <w:numPr>
                <w:ilvl w:val="0"/>
                <w:numId w:val="2"/>
              </w:numPr>
              <w:spacing w:after="30" w:before="30"/>
            </w:pPr>
            <w:r>
              <w:rPr>
                <w:rFonts w:ascii="Arial" w:cs="Arial" w:eastAsia="Arial" w:hAnsi="Arial"/>
                <w:color w:val="1A1A1A"/>
                <w:sz w:val="19"/>
                <w:szCs w:val="19"/>
              </w:rPr>
              <w:t xml:space="preserve">Brief characterization of the author's evidence, methodology, or approach (research, narrative, philosophy, case study)</w:t>
            </w:r>
          </w:p>
          <w:p>
            <w:pPr>
              <w:pStyle w:val="ListParagraph"/>
              <w:numPr>
                <w:ilvl w:val="0"/>
                <w:numId w:val="2"/>
              </w:numPr>
              <w:spacing w:after="30" w:before="30"/>
            </w:pPr>
            <w:r>
              <w:rPr>
                <w:rFonts w:ascii="Arial" w:cs="Arial" w:eastAsia="Arial" w:hAnsi="Arial"/>
                <w:color w:val="1A1A1A"/>
                <w:sz w:val="19"/>
                <w:szCs w:val="19"/>
              </w:rPr>
              <w:t xml:space="preserve">An honest statement of where the book is strong and, where relevant, where its limitations lie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Voice Standard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Analytical but not academic. Clear, confident, and precise. The author is explaining an idea to someone intelligent who hasn't encountered it. No hedging, no excessive qualification, no lengthy biography of the book's author.</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 chapter-by-chapter summary. A list of the book's main points without explanation. Excessive praise or uncritical enthusiasm. Any use of the phrase 'the author argues that' repeated more than once — vary sentence structure. Reproducing the book's own language rather than analyzing it.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Critical Constraint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This section explains the book. It does not apply it. Application is the job of Section 3. Keep these two entirely separate.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5C" w:val="clear"/>
            <w:tcMar>
              <w:top w:type="dxa" w:w="160"/>
              <w:left w:type="dxa" w:w="280"/>
              <w:bottom w:type="dxa" w:w="120"/>
              <w:right w:type="dxa" w:w="280"/>
            </w:tcMar>
          </w:tcPr>
          <w:p>
            <w:r>
              <w:rPr>
                <w:rFonts w:ascii="Arial" w:cs="Arial" w:eastAsia="Arial" w:hAnsi="Arial"/>
                <w:b/>
                <w:bCs/>
                <w:color w:val="FFFFFF"/>
                <w:sz w:val="30"/>
                <w:szCs w:val="30"/>
              </w:rPr>
              <w:t xml:space="preserve">Section 3  |  Leadership Transition Commentary</w:t>
            </w:r>
          </w:p>
          <w:p>
            <w:pPr>
              <w:spacing w:after="0" w:before="0"/>
            </w:pPr>
          </w:p>
        </w:tc>
      </w:tr>
    </w:tbl>
    <w:p>
      <w:pPr>
        <w:spacing w:after="0" w:before="100"/>
      </w:pPr>
    </w:p>
    <w:p>
      <w:pPr>
        <w:spacing w:after="60" w:before="60"/>
      </w:pPr>
      <w:r>
        <w:rPr>
          <w:rFonts w:ascii="Arial" w:cs="Arial" w:eastAsia="Arial" w:hAnsi="Arial"/>
          <w:b/>
          <w:bCs/>
          <w:i w:val="false"/>
          <w:iCs w:val="false"/>
          <w:color w:val="1B3A5C"/>
          <w:sz w:val="21"/>
          <w:szCs w:val="21"/>
        </w:rPr>
        <w:t xml:space="preserve">This is the most important section in every entry. It is the reason the platform exists.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translate the book's ideas through the specific experience of military transition — not career transition in general, but the particular experience of leaving service: the identity disruption, the loss of tribe, the uncertainty about purpose, the practical challenge of civilian integration. The commentary connects what the author taught to what the reader is actually living.</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350–500 words. This is the platform's voice — it should never feel compressed.</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Must include:</w:t>
            </w:r>
          </w:p>
          <w:p>
            <w:pPr>
              <w:pStyle w:val="ListParagraph"/>
              <w:numPr>
                <w:ilvl w:val="0"/>
                <w:numId w:val="2"/>
              </w:numPr>
              <w:spacing w:after="30" w:before="30"/>
            </w:pPr>
            <w:r>
              <w:rPr>
                <w:rFonts w:ascii="Arial" w:cs="Arial" w:eastAsia="Arial" w:hAnsi="Arial"/>
                <w:color w:val="1A1A1A"/>
                <w:sz w:val="19"/>
                <w:szCs w:val="19"/>
              </w:rPr>
              <w:t xml:space="preserve">A direct connection between the book's central argument and the military transition experience</w:t>
            </w:r>
          </w:p>
          <w:p>
            <w:pPr>
              <w:pStyle w:val="ListParagraph"/>
              <w:numPr>
                <w:ilvl w:val="0"/>
                <w:numId w:val="2"/>
              </w:numPr>
              <w:spacing w:after="30" w:before="30"/>
            </w:pPr>
            <w:r>
              <w:rPr>
                <w:rFonts w:ascii="Arial" w:cs="Arial" w:eastAsia="Arial" w:hAnsi="Arial"/>
                <w:color w:val="1A1A1A"/>
                <w:sz w:val="19"/>
                <w:szCs w:val="19"/>
              </w:rPr>
              <w:t xml:space="preserve">At least one specific observation about how the book's ideas apply differently (or more powerfully) for military leaders than for the general reader</w:t>
            </w:r>
          </w:p>
          <w:p>
            <w:pPr>
              <w:pStyle w:val="ListParagraph"/>
              <w:numPr>
                <w:ilvl w:val="0"/>
                <w:numId w:val="2"/>
              </w:numPr>
              <w:spacing w:after="30" w:before="30"/>
            </w:pPr>
            <w:r>
              <w:rPr>
                <w:rFonts w:ascii="Arial" w:cs="Arial" w:eastAsia="Arial" w:hAnsi="Arial"/>
                <w:color w:val="1A1A1A"/>
                <w:sz w:val="19"/>
                <w:szCs w:val="19"/>
              </w:rPr>
              <w:t xml:space="preserve">Honest acknowledgment of where the book's ideas are difficult, incomplete, or require adaptation — not every book solves every problem cleanly</w:t>
            </w:r>
          </w:p>
          <w:p>
            <w:pPr>
              <w:pStyle w:val="ListParagraph"/>
              <w:numPr>
                <w:ilvl w:val="0"/>
                <w:numId w:val="2"/>
              </w:numPr>
              <w:spacing w:after="30" w:before="30"/>
            </w:pPr>
            <w:r>
              <w:rPr>
                <w:rFonts w:ascii="Arial" w:cs="Arial" w:eastAsia="Arial" w:hAnsi="Arial"/>
                <w:color w:val="1A1A1A"/>
                <w:sz w:val="19"/>
                <w:szCs w:val="19"/>
              </w:rPr>
              <w:t xml:space="preserve">At least one transition-specific observation connecting the book to identity, purpose, belonging, or reinvention</w:t>
            </w:r>
          </w:p>
          <w:p>
            <w:pPr>
              <w:pStyle w:val="ListParagraph"/>
              <w:numPr>
                <w:ilvl w:val="0"/>
                <w:numId w:val="2"/>
              </w:numPr>
              <w:spacing w:after="30" w:before="30"/>
            </w:pPr>
            <w:r>
              <w:rPr>
                <w:rFonts w:ascii="Arial" w:cs="Arial" w:eastAsia="Arial" w:hAnsi="Arial"/>
                <w:color w:val="1A1A1A"/>
                <w:sz w:val="19"/>
                <w:szCs w:val="19"/>
              </w:rPr>
              <w:t xml:space="preserve">A tone that acknowledges the difficulty of transition without catastrophizing it — honest about the challenge, clear about the path forward</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Voice Standard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This is where the naval officer's perspective shapes the writing. Not explicitly — never 'in my experience as a naval officer.' Implicitly — the observations carry the weight of someone who has led real people through real uncertainty. Reflective, grounded, practical. Never motivational. Never prescriptive.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The Standard Test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Read this section aloud and ask: does it sound like an experienced leader talking to a peer, or does it sound like a consultant presenting a framework? If the latter: rewrite it.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Generic leadership observations that could apply to any career transition. Excessive enthusiasm for the book. Observations that haven't passed through the filter of military experience. Any section that could have been written by someone who has never worn a uniform and it would sound exactly the same.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E5F3E" w:val="clear"/>
            <w:tcMar>
              <w:top w:type="dxa" w:w="160"/>
              <w:left w:type="dxa" w:w="280"/>
              <w:bottom w:type="dxa" w:w="120"/>
              <w:right w:type="dxa" w:w="280"/>
            </w:tcMar>
          </w:tcPr>
          <w:p>
            <w:r>
              <w:rPr>
                <w:rFonts w:ascii="Arial" w:cs="Arial" w:eastAsia="Arial" w:hAnsi="Arial"/>
                <w:b/>
                <w:bCs/>
                <w:color w:val="FFFFFF"/>
                <w:sz w:val="30"/>
                <w:szCs w:val="30"/>
              </w:rPr>
              <w:t xml:space="preserve">Section 4  |  Practical Applications</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give the reader something to do. Every insight in this entry must point toward action, reflection, or a concrete change in behavior or perspective. This section is the bridge between understanding and use.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150–250 words. Three to five applications, each developed in one to three sentences. Not a simple list — each application earns its place with brief explanation.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Format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Numbered list, each item beginning with an action verb or a specific directive. Not 'Consider X' — direct the reader specifically. Not 'Think about how X applies to your situation' — give them the specific application.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Must include:</w:t>
            </w:r>
          </w:p>
          <w:p>
            <w:pPr>
              <w:pStyle w:val="ListParagraph"/>
              <w:numPr>
                <w:ilvl w:val="0"/>
                <w:numId w:val="2"/>
              </w:numPr>
              <w:spacing w:after="30" w:before="30"/>
            </w:pPr>
            <w:r>
              <w:rPr>
                <w:rFonts w:ascii="Arial" w:cs="Arial" w:eastAsia="Arial" w:hAnsi="Arial"/>
                <w:color w:val="1A1A1A"/>
                <w:sz w:val="19"/>
                <w:szCs w:val="19"/>
              </w:rPr>
              <w:t xml:space="preserve">At least one application specific to the transition experience (identity, career change, civilian integration, retirement planning)</w:t>
            </w:r>
          </w:p>
          <w:p>
            <w:pPr>
              <w:pStyle w:val="ListParagraph"/>
              <w:numPr>
                <w:ilvl w:val="0"/>
                <w:numId w:val="2"/>
              </w:numPr>
              <w:spacing w:after="30" w:before="30"/>
            </w:pPr>
            <w:r>
              <w:rPr>
                <w:rFonts w:ascii="Arial" w:cs="Arial" w:eastAsia="Arial" w:hAnsi="Arial"/>
                <w:color w:val="1A1A1A"/>
                <w:sz w:val="19"/>
                <w:szCs w:val="19"/>
              </w:rPr>
              <w:t xml:space="preserve">At least one application relevant to active leadership (team, organization, or personal conduct)</w:t>
            </w:r>
          </w:p>
          <w:p>
            <w:pPr>
              <w:pStyle w:val="ListParagraph"/>
              <w:numPr>
                <w:ilvl w:val="0"/>
                <w:numId w:val="2"/>
              </w:numPr>
              <w:spacing w:after="30" w:before="30"/>
            </w:pPr>
            <w:r>
              <w:rPr>
                <w:rFonts w:ascii="Arial" w:cs="Arial" w:eastAsia="Arial" w:hAnsi="Arial"/>
                <w:color w:val="1A1A1A"/>
                <w:sz w:val="19"/>
                <w:szCs w:val="19"/>
              </w:rPr>
              <w:t xml:space="preserve">Applications that are specific enough to act on, not so specific they only fit one reader's situation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Voice Standard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Direct. Action-oriented. No hedging. The difference between 'you might consider applying X' and 'apply X by doing Y.' The second is always preferable.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Applications so vague they could apply to any book ('Reflect on your values'). A list that simply restates the book's ideas without translating them into specific action. More than five applications — which signals that the entry is trying to be comprehensive rather than useful.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4A2E5C" w:val="clear"/>
            <w:tcMar>
              <w:top w:type="dxa" w:w="160"/>
              <w:left w:type="dxa" w:w="280"/>
              <w:bottom w:type="dxa" w:w="120"/>
              <w:right w:type="dxa" w:w="280"/>
            </w:tcMar>
          </w:tcPr>
          <w:p>
            <w:r>
              <w:rPr>
                <w:rFonts w:ascii="Arial" w:cs="Arial" w:eastAsia="Arial" w:hAnsi="Arial"/>
                <w:b/>
                <w:bCs/>
                <w:color w:val="FFFFFF"/>
                <w:sz w:val="30"/>
                <w:szCs w:val="30"/>
              </w:rPr>
              <w:t xml:space="preserve">Section 5  |  Reflection Questions</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invite the reader into a genuine dialogue with the ideas — not to test their comprehension of the book, but to prompt self-examination. Good reflection questions create productive discomfort. They ask the reader to see themselves honestly, consider something they may have avoided, or apply an idea to their specific situation.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Four questions. No more, no fewer. Each question stands alone — it should not require the others to be meaningful. Each question is one to three sentences.</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The four questions must collectively cover:</w:t>
            </w:r>
          </w:p>
          <w:p>
            <w:pPr>
              <w:pStyle w:val="ListParagraph"/>
              <w:numPr>
                <w:ilvl w:val="0"/>
                <w:numId w:val="2"/>
              </w:numPr>
              <w:spacing w:after="30" w:before="30"/>
            </w:pPr>
            <w:r>
              <w:rPr>
                <w:rFonts w:ascii="Arial" w:cs="Arial" w:eastAsia="Arial" w:hAnsi="Arial"/>
                <w:color w:val="1A1A1A"/>
                <w:sz w:val="19"/>
                <w:szCs w:val="19"/>
              </w:rPr>
              <w:t xml:space="preserve">One question about leadership identity or self-awareness (who the reader is as a leader)</w:t>
            </w:r>
          </w:p>
          <w:p>
            <w:pPr>
              <w:pStyle w:val="ListParagraph"/>
              <w:numPr>
                <w:ilvl w:val="0"/>
                <w:numId w:val="2"/>
              </w:numPr>
              <w:spacing w:after="30" w:before="30"/>
            </w:pPr>
            <w:r>
              <w:rPr>
                <w:rFonts w:ascii="Arial" w:cs="Arial" w:eastAsia="Arial" w:hAnsi="Arial"/>
                <w:color w:val="1A1A1A"/>
                <w:sz w:val="19"/>
                <w:szCs w:val="19"/>
              </w:rPr>
              <w:t xml:space="preserve">One question about the transition experience (what they're moving through right now)</w:t>
            </w:r>
          </w:p>
          <w:p>
            <w:pPr>
              <w:pStyle w:val="ListParagraph"/>
              <w:numPr>
                <w:ilvl w:val="0"/>
                <w:numId w:val="2"/>
              </w:numPr>
              <w:spacing w:after="30" w:before="30"/>
            </w:pPr>
            <w:r>
              <w:rPr>
                <w:rFonts w:ascii="Arial" w:cs="Arial" w:eastAsia="Arial" w:hAnsi="Arial"/>
                <w:color w:val="1A1A1A"/>
                <w:sz w:val="19"/>
                <w:szCs w:val="19"/>
              </w:rPr>
              <w:t xml:space="preserve">One question about purpose, legacy, or what comes next</w:t>
            </w:r>
          </w:p>
          <w:p>
            <w:pPr>
              <w:pStyle w:val="ListParagraph"/>
              <w:numPr>
                <w:ilvl w:val="0"/>
                <w:numId w:val="2"/>
              </w:numPr>
              <w:spacing w:after="30" w:before="30"/>
            </w:pPr>
            <w:r>
              <w:rPr>
                <w:rFonts w:ascii="Arial" w:cs="Arial" w:eastAsia="Arial" w:hAnsi="Arial"/>
                <w:color w:val="1A1A1A"/>
                <w:sz w:val="19"/>
                <w:szCs w:val="19"/>
              </w:rPr>
              <w:t xml:space="preserve">One question that connects the book's specific ideas to the reader's specific situation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Voice Standard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Questions are written in second person ('you') and are direct but not confrontational. They open exploration rather than demand confession. They are specific enough to be useful but broad enough to apply to the range of transition experiences the reader may be in.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Comprehension questions ('What does the author mean by X?'). Questions so broad they prompt no specific reflection ('How do you feel about this idea?'). Questions that presuppose the reader is in a specific situation they may not be in ('As you prepare to leave the military...' — some readers may already be veterans).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3A1C" w:val="clear"/>
            <w:tcMar>
              <w:top w:type="dxa" w:w="160"/>
              <w:left w:type="dxa" w:w="280"/>
              <w:bottom w:type="dxa" w:w="120"/>
              <w:right w:type="dxa" w:w="280"/>
            </w:tcMar>
          </w:tcPr>
          <w:p>
            <w:r>
              <w:rPr>
                <w:rFonts w:ascii="Arial" w:cs="Arial" w:eastAsia="Arial" w:hAnsi="Arial"/>
                <w:b/>
                <w:bCs/>
                <w:color w:val="FFFFFF"/>
                <w:sz w:val="30"/>
                <w:szCs w:val="30"/>
              </w:rPr>
              <w:t xml:space="preserve">Section 6  |  Cross-Book Wisdom Connections</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demonstrate that this book's ideas are not isolated — they are part of a conversation that spans cultures, centuries, and genres. Cross-book connections are the platform's most differentiating feature. They show the reader that the same essential truth has been reached by many different paths, and that path is worth following.</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150–250 words. Two to four connections, each developed in two to four sentences. Not a list of related books — a genuine exploration of where specific ideas converge.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Each connection must:</w:t>
            </w:r>
          </w:p>
          <w:p>
            <w:pPr>
              <w:pStyle w:val="ListParagraph"/>
              <w:numPr>
                <w:ilvl w:val="0"/>
                <w:numId w:val="2"/>
              </w:numPr>
              <w:spacing w:after="30" w:before="30"/>
            </w:pPr>
            <w:r>
              <w:rPr>
                <w:rFonts w:ascii="Arial" w:cs="Arial" w:eastAsia="Arial" w:hAnsi="Arial"/>
                <w:color w:val="1A1A1A"/>
                <w:sz w:val="19"/>
                <w:szCs w:val="19"/>
              </w:rPr>
              <w:t xml:space="preserve">Name the specific idea or theme that connects this book to another</w:t>
            </w:r>
          </w:p>
          <w:p>
            <w:pPr>
              <w:pStyle w:val="ListParagraph"/>
              <w:numPr>
                <w:ilvl w:val="0"/>
                <w:numId w:val="2"/>
              </w:numPr>
              <w:spacing w:after="30" w:before="30"/>
            </w:pPr>
            <w:r>
              <w:rPr>
                <w:rFonts w:ascii="Arial" w:cs="Arial" w:eastAsia="Arial" w:hAnsi="Arial"/>
                <w:color w:val="1A1A1A"/>
                <w:sz w:val="19"/>
                <w:szCs w:val="19"/>
              </w:rPr>
              <w:t xml:space="preserve">Explain what each book contributes to the shared idea — not simply that both books 'address' the theme</w:t>
            </w:r>
          </w:p>
          <w:p>
            <w:pPr>
              <w:pStyle w:val="ListParagraph"/>
              <w:numPr>
                <w:ilvl w:val="0"/>
                <w:numId w:val="2"/>
              </w:numPr>
              <w:spacing w:after="30" w:before="30"/>
            </w:pPr>
            <w:r>
              <w:rPr>
                <w:rFonts w:ascii="Arial" w:cs="Arial" w:eastAsia="Arial" w:hAnsi="Arial"/>
                <w:color w:val="1A1A1A"/>
                <w:sz w:val="19"/>
                <w:szCs w:val="19"/>
              </w:rPr>
              <w:t xml:space="preserve">Offer an observation about what the convergence reveals — why it matters that two very different books arrive at the same place</w:t>
            </w:r>
          </w:p>
          <w:p>
            <w:pPr>
              <w:pStyle w:val="ListParagraph"/>
              <w:numPr>
                <w:ilvl w:val="0"/>
                <w:numId w:val="2"/>
              </w:numPr>
              <w:spacing w:after="30" w:before="30"/>
            </w:pPr>
            <w:r>
              <w:rPr>
                <w:rFonts w:ascii="Arial" w:cs="Arial" w:eastAsia="Arial" w:hAnsi="Arial"/>
                <w:color w:val="1A1A1A"/>
                <w:sz w:val="19"/>
                <w:szCs w:val="19"/>
              </w:rPr>
              <w:t xml:space="preserve">Connect to at least one book from a different genre, tradition, or era than the entry book (e.g., if the entry book is a modern leadership text, connect to a philosophy or history title)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Minimum Connections Required</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Two connections for Specialized books. Three for Supporting and Advanced books. Four for Core and Foundational Canon books.</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Alignment to Wisdom Themes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Every connection made in this section must map to one of the 15 approved Cross-Book Wisdom Themes. This is how the Wisdom Engine is built — one entry at a time.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Connections that only mention the related book without explaining the specific idea being connected. Connections that are thematically similar but intellectually thin ('Both books discuss leadership'). Connections that only reference books already listed in the Related Books section — push deeper into the library for at least one connection.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914" w:val="clear"/>
            <w:tcMar>
              <w:top w:type="dxa" w:w="160"/>
              <w:left w:type="dxa" w:w="280"/>
              <w:bottom w:type="dxa" w:w="120"/>
              <w:right w:type="dxa" w:w="280"/>
            </w:tcMar>
          </w:tcPr>
          <w:p>
            <w:r>
              <w:rPr>
                <w:rFonts w:ascii="Arial" w:cs="Arial" w:eastAsia="Arial" w:hAnsi="Arial"/>
                <w:b/>
                <w:bCs/>
                <w:color w:val="FFFFFF"/>
                <w:sz w:val="30"/>
                <w:szCs w:val="30"/>
              </w:rPr>
              <w:t xml:space="preserve">Section 7  |  Closing Reflection</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send the reader forward with perspective, not instruction. The closing reflection does not summarize the entry. It does not repeat the book's key points. It offers a final thought — honest, grounded, and quietly hopeful — about what this book offers to someone standing at a significant life threshold.</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Length</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100–175 words. Two to three paragraphs. The closing is not the longest section, but it may be the most carefully written. The reader's final impression of the entire entry rests here.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Required Elements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Must deliver all four closing elements per the Voice &amp; Style Guide:</w:t>
            </w:r>
          </w:p>
          <w:p>
            <w:pPr>
              <w:pStyle w:val="ListParagraph"/>
              <w:numPr>
                <w:ilvl w:val="0"/>
                <w:numId w:val="2"/>
              </w:numPr>
              <w:spacing w:after="30" w:before="30"/>
            </w:pPr>
            <w:r>
              <w:rPr>
                <w:rFonts w:ascii="Arial" w:cs="Arial" w:eastAsia="Arial" w:hAnsi="Arial"/>
                <w:color w:val="1A1A1A"/>
                <w:sz w:val="19"/>
                <w:szCs w:val="19"/>
              </w:rPr>
              <w:t xml:space="preserve">Perspective — a broader view of what this book's wisdom means in the arc of a leader's life</w:t>
            </w:r>
          </w:p>
          <w:p>
            <w:pPr>
              <w:pStyle w:val="ListParagraph"/>
              <w:numPr>
                <w:ilvl w:val="0"/>
                <w:numId w:val="2"/>
              </w:numPr>
              <w:spacing w:after="30" w:before="30"/>
            </w:pPr>
            <w:r>
              <w:rPr>
                <w:rFonts w:ascii="Arial" w:cs="Arial" w:eastAsia="Arial" w:hAnsi="Arial"/>
                <w:color w:val="1A1A1A"/>
                <w:sz w:val="19"/>
                <w:szCs w:val="19"/>
              </w:rPr>
              <w:t xml:space="preserve">Practical wisdom — one final, concrete thought the reader can carry forward</w:t>
            </w:r>
          </w:p>
          <w:p>
            <w:pPr>
              <w:pStyle w:val="ListParagraph"/>
              <w:numPr>
                <w:ilvl w:val="0"/>
                <w:numId w:val="2"/>
              </w:numPr>
              <w:spacing w:after="30" w:before="30"/>
            </w:pPr>
            <w:r>
              <w:rPr>
                <w:rFonts w:ascii="Arial" w:cs="Arial" w:eastAsia="Arial" w:hAnsi="Arial"/>
                <w:color w:val="1A1A1A"/>
                <w:sz w:val="19"/>
                <w:szCs w:val="19"/>
              </w:rPr>
              <w:t xml:space="preserve">Hope — genuine optimism about what comes next, earned by acknowledging what is difficult</w:t>
            </w:r>
          </w:p>
          <w:p>
            <w:pPr>
              <w:pStyle w:val="ListParagraph"/>
              <w:numPr>
                <w:ilvl w:val="0"/>
                <w:numId w:val="2"/>
              </w:numPr>
              <w:spacing w:after="30" w:before="30"/>
            </w:pPr>
            <w:r>
              <w:rPr>
                <w:rFonts w:ascii="Arial" w:cs="Arial" w:eastAsia="Arial" w:hAnsi="Arial"/>
                <w:color w:val="1A1A1A"/>
                <w:sz w:val="19"/>
                <w:szCs w:val="19"/>
              </w:rPr>
              <w:t xml:space="preserve">Humility — the acknowledgment that this book, and this entry, is not the complete answer — it is one part of a longer conversation</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The Tone Test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Read the closing aloud. If it sounds like a motivational poster, rewrite it. If it sounds like an experienced person speaking honestly to someone they respect, it is right.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 summary of the entry. A list of the book's takeaways. An exhortation ('Go out and apply these lessons!'). False certainty ('This book will change how you lead'). A closing that sounds like it belongs in an inspirational calendar.</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4A5C" w:val="clear"/>
            <w:tcMar>
              <w:top w:type="dxa" w:w="160"/>
              <w:left w:type="dxa" w:w="280"/>
              <w:bottom w:type="dxa" w:w="120"/>
              <w:right w:type="dxa" w:w="280"/>
            </w:tcMar>
          </w:tcPr>
          <w:p>
            <w:r>
              <w:rPr>
                <w:rFonts w:ascii="Arial" w:cs="Arial" w:eastAsia="Arial" w:hAnsi="Arial"/>
                <w:b/>
                <w:bCs/>
                <w:color w:val="FFFFFF"/>
                <w:sz w:val="30"/>
                <w:szCs w:val="30"/>
              </w:rPr>
              <w:t xml:space="preserve">Section 8  |  Related Books</w:t>
            </w:r>
          </w:p>
          <w:p>
            <w:pPr>
              <w:spacing w:after="0" w:before="0"/>
            </w:pP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Purpose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To guide the reader to their next destination within the library — not randomly, but because the books genuinely extend, complement, or deepen what this entry explored. Related books are a navigation tool, not an endorsement list.</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Quantity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Three to five books. Drawn from within the LTT library only.</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Selection Criteria</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pPr>
              <w:spacing w:after="40" w:before="0"/>
            </w:pPr>
            <w:r>
              <w:rPr>
                <w:rFonts w:ascii="Arial" w:cs="Arial" w:eastAsia="Arial" w:hAnsi="Arial"/>
                <w:b/>
                <w:bCs/>
                <w:color w:val="1B3A5C"/>
                <w:sz w:val="19"/>
                <w:szCs w:val="19"/>
              </w:rPr>
              <w:t xml:space="preserve">Each related book must satisfy one of these three criteria:</w:t>
            </w:r>
          </w:p>
          <w:p>
            <w:pPr>
              <w:pStyle w:val="ListParagraph"/>
              <w:numPr>
                <w:ilvl w:val="0"/>
                <w:numId w:val="2"/>
              </w:numPr>
              <w:spacing w:after="30" w:before="30"/>
            </w:pPr>
            <w:r>
              <w:rPr>
                <w:rFonts w:ascii="Arial" w:cs="Arial" w:eastAsia="Arial" w:hAnsi="Arial"/>
                <w:color w:val="1A1A1A"/>
                <w:sz w:val="19"/>
                <w:szCs w:val="19"/>
              </w:rPr>
              <w:t xml:space="preserve">Thematic continuation — the related book explores the same wisdom theme from a different angle or tradition</w:t>
            </w:r>
          </w:p>
          <w:p>
            <w:pPr>
              <w:pStyle w:val="ListParagraph"/>
              <w:numPr>
                <w:ilvl w:val="0"/>
                <w:numId w:val="2"/>
              </w:numPr>
              <w:spacing w:after="30" w:before="30"/>
            </w:pPr>
            <w:r>
              <w:rPr>
                <w:rFonts w:ascii="Arial" w:cs="Arial" w:eastAsia="Arial" w:hAnsi="Arial"/>
                <w:color w:val="1A1A1A"/>
                <w:sz w:val="19"/>
                <w:szCs w:val="19"/>
              </w:rPr>
              <w:t xml:space="preserve">Practical application — the related book takes the entry book's ideas and gives them operational form</w:t>
            </w:r>
          </w:p>
          <w:p>
            <w:pPr>
              <w:pStyle w:val="ListParagraph"/>
              <w:numPr>
                <w:ilvl w:val="0"/>
                <w:numId w:val="2"/>
              </w:numPr>
              <w:spacing w:after="30" w:before="30"/>
            </w:pPr>
            <w:r>
              <w:rPr>
                <w:rFonts w:ascii="Arial" w:cs="Arial" w:eastAsia="Arial" w:hAnsi="Arial"/>
                <w:color w:val="1A1A1A"/>
                <w:sz w:val="19"/>
                <w:szCs w:val="19"/>
              </w:rPr>
              <w:t xml:space="preserve">Pathway progression — the related book is the logical next step in one of the reading pathways this entry serves</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Format</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For each related book: title, author, and one sentence (maximum 20 words) explaining why the connection is meaningful for this reader. Not a restatement of the related book's content — a statement of the specific relationship between the two books.</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What Failure Looks Like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A list of books that are vaguely 'about leadership.' Related books that appear on every entry because they are popular. Failing to explain why each book is specifically related to this one.</w:t>
            </w:r>
          </w:p>
        </w:tc>
      </w:tr>
    </w:tbl>
    <w:p>
      <w:r>
        <w:br w:type="page"/>
      </w:r>
    </w:p>
    <w:p>
      <w:pPr>
        <w:pStyle w:val="Heading1"/>
        <w:spacing w:after="160" w:before="360"/>
      </w:pPr>
      <w:r>
        <w:rPr>
          <w:rFonts w:ascii="Arial" w:cs="Arial" w:eastAsia="Arial" w:hAnsi="Arial"/>
          <w:b/>
          <w:bCs/>
          <w:color w:val="1B3A5C"/>
          <w:sz w:val="36"/>
          <w:szCs w:val="36"/>
        </w:rPr>
        <w:t xml:space="preserve">4.  Writing Standards</w:t>
      </w:r>
    </w:p>
    <w:p>
      <w:pPr>
        <w:spacing w:after="60" w:before="60"/>
      </w:pPr>
      <w:r>
        <w:rPr>
          <w:rFonts w:ascii="Arial" w:cs="Arial" w:eastAsia="Arial" w:hAnsi="Arial"/>
          <w:b w:val="false"/>
          <w:bCs w:val="false"/>
          <w:i w:val="false"/>
          <w:iCs w:val="false"/>
          <w:color w:val="1A1A1A"/>
          <w:sz w:val="21"/>
          <w:szCs w:val="21"/>
        </w:rPr>
        <w:t xml:space="preserve">These standards apply across every section of every entry. They are not suggestions. They are the conditions under which the entry meets the platform's voice standard.</w:t>
      </w:r>
    </w:p>
    <w:p>
      <w:pPr>
        <w:spacing w:after="0" w:before="80"/>
      </w:pPr>
    </w:p>
    <w:p>
      <w:pPr>
        <w:pStyle w:val="Heading2"/>
        <w:spacing w:after="120" w:before="280"/>
      </w:pPr>
      <w:r>
        <w:rPr>
          <w:rFonts w:ascii="Arial" w:cs="Arial" w:eastAsia="Arial" w:hAnsi="Arial"/>
          <w:b/>
          <w:bCs/>
          <w:color w:val="1B3A5C"/>
          <w:sz w:val="27"/>
          <w:szCs w:val="27"/>
        </w:rPr>
        <w:t xml:space="preserve">4A.  Sentence and Paragraph Structure</w:t>
      </w:r>
    </w:p>
    <w:p>
      <w:pPr>
        <w:pStyle w:val="ListParagraph"/>
        <w:numPr>
          <w:ilvl w:val="0"/>
          <w:numId w:val="2"/>
        </w:numPr>
        <w:spacing w:after="40" w:before="40"/>
      </w:pPr>
      <w:r>
        <w:rPr>
          <w:rFonts w:ascii="Arial" w:cs="Arial" w:eastAsia="Arial" w:hAnsi="Arial"/>
          <w:color w:val="1A1A1A"/>
          <w:sz w:val="21"/>
          <w:szCs w:val="21"/>
        </w:rPr>
        <w:t xml:space="preserve">Write in paragraphs, not in lists, wherever prose serves the meaning better. Lists are permitted only in Practical Applications (Section 4) and Related Books (Section 8). Every other section is written in continuous prose.</w:t>
      </w:r>
    </w:p>
    <w:p>
      <w:pPr>
        <w:pStyle w:val="ListParagraph"/>
        <w:numPr>
          <w:ilvl w:val="0"/>
          <w:numId w:val="2"/>
        </w:numPr>
        <w:spacing w:after="40" w:before="40"/>
      </w:pPr>
      <w:r>
        <w:rPr>
          <w:rFonts w:ascii="Arial" w:cs="Arial" w:eastAsia="Arial" w:hAnsi="Arial"/>
          <w:color w:val="1A1A1A"/>
          <w:sz w:val="21"/>
          <w:szCs w:val="21"/>
        </w:rPr>
        <w:t xml:space="preserve">Paragraphs run 2–5 sentences. Short paragraphs are not a weakness — they are often a strength. A single powerful sentence can carry a paragraph in a closing reflection.</w:t>
      </w:r>
    </w:p>
    <w:p>
      <w:pPr>
        <w:pStyle w:val="ListParagraph"/>
        <w:numPr>
          <w:ilvl w:val="0"/>
          <w:numId w:val="2"/>
        </w:numPr>
        <w:spacing w:after="40" w:before="40"/>
      </w:pPr>
      <w:r>
        <w:rPr>
          <w:rFonts w:ascii="Arial" w:cs="Arial" w:eastAsia="Arial" w:hAnsi="Arial"/>
          <w:color w:val="1A1A1A"/>
          <w:sz w:val="21"/>
          <w:szCs w:val="21"/>
        </w:rPr>
        <w:t xml:space="preserve">Vary sentence length deliberately. Clusters of long sentences signal the writing has gone academic. Clusters of short sentences signal the writing has gone blunt. The platform's register is neither.</w:t>
      </w:r>
    </w:p>
    <w:p>
      <w:pPr>
        <w:pStyle w:val="ListParagraph"/>
        <w:numPr>
          <w:ilvl w:val="0"/>
          <w:numId w:val="2"/>
        </w:numPr>
        <w:spacing w:after="40" w:before="40"/>
      </w:pPr>
      <w:r>
        <w:rPr>
          <w:rFonts w:ascii="Arial" w:cs="Arial" w:eastAsia="Arial" w:hAnsi="Arial"/>
          <w:color w:val="1A1A1A"/>
          <w:sz w:val="21"/>
          <w:szCs w:val="21"/>
        </w:rPr>
        <w:t xml:space="preserve">Do not open more than two consecutive paragraphs with the same grammatical construction. Repetition becomes monotone.</w:t>
      </w:r>
    </w:p>
    <w:p>
      <w:pPr>
        <w:spacing w:after="0" w:before="80"/>
      </w:pPr>
    </w:p>
    <w:p>
      <w:pPr>
        <w:pStyle w:val="Heading2"/>
        <w:spacing w:after="120" w:before="280"/>
      </w:pPr>
      <w:r>
        <w:rPr>
          <w:rFonts w:ascii="Arial" w:cs="Arial" w:eastAsia="Arial" w:hAnsi="Arial"/>
          <w:b/>
          <w:bCs/>
          <w:color w:val="1B3A5C"/>
          <w:sz w:val="27"/>
          <w:szCs w:val="27"/>
        </w:rPr>
        <w:t xml:space="preserve">4B.  Voice Discipline</w:t>
      </w:r>
    </w:p>
    <w:p>
      <w:pPr>
        <w:pStyle w:val="ListParagraph"/>
        <w:numPr>
          <w:ilvl w:val="0"/>
          <w:numId w:val="2"/>
        </w:numPr>
        <w:spacing w:after="40" w:before="40"/>
      </w:pPr>
      <w:r>
        <w:rPr>
          <w:rFonts w:ascii="Arial" w:cs="Arial" w:eastAsia="Arial" w:hAnsi="Arial"/>
          <w:color w:val="1A1A1A"/>
          <w:sz w:val="21"/>
          <w:szCs w:val="21"/>
        </w:rPr>
        <w:t xml:space="preserve">The platform voice is a naval officer with decades of experience, significant reading, and genuine humility. Never make this explicit. Never write 'as a naval officer' or 'in my experience.' Let it show through what is noticed, what is emphasized, and what is left unsaid.</w:t>
      </w:r>
    </w:p>
    <w:p>
      <w:pPr>
        <w:pStyle w:val="ListParagraph"/>
        <w:numPr>
          <w:ilvl w:val="0"/>
          <w:numId w:val="2"/>
        </w:numPr>
        <w:spacing w:after="40" w:before="40"/>
      </w:pPr>
      <w:r>
        <w:rPr>
          <w:rFonts w:ascii="Arial" w:cs="Arial" w:eastAsia="Arial" w:hAnsi="Arial"/>
          <w:color w:val="1A1A1A"/>
          <w:sz w:val="21"/>
          <w:szCs w:val="21"/>
        </w:rPr>
        <w:t xml:space="preserve">Write in second person ('you') for Sections 3 and 5. Write in third person for Section 2 (the book analysis). Use 'we' sparingly and only when it reflects a genuinely shared experience between writer and reader.</w:t>
      </w:r>
    </w:p>
    <w:p>
      <w:pPr>
        <w:pStyle w:val="ListParagraph"/>
        <w:numPr>
          <w:ilvl w:val="0"/>
          <w:numId w:val="2"/>
        </w:numPr>
        <w:spacing w:after="40" w:before="40"/>
      </w:pPr>
      <w:r>
        <w:rPr>
          <w:rFonts w:ascii="Arial" w:cs="Arial" w:eastAsia="Arial" w:hAnsi="Arial"/>
          <w:color w:val="1A1A1A"/>
          <w:sz w:val="21"/>
          <w:szCs w:val="21"/>
        </w:rPr>
        <w:t xml:space="preserve">Avoid leadership clichés without exception: 'at the end of the day,' 'move the needle,' 'lean in,' 'circle back,' 'game-changer,' 'paradigm shift,' 'synergy.' If a phrase has appeared in a PowerPoint presentation, do not use it here.</w:t>
      </w:r>
    </w:p>
    <w:p>
      <w:pPr>
        <w:pStyle w:val="ListParagraph"/>
        <w:numPr>
          <w:ilvl w:val="0"/>
          <w:numId w:val="2"/>
        </w:numPr>
        <w:spacing w:after="40" w:before="40"/>
      </w:pPr>
      <w:r>
        <w:rPr>
          <w:rFonts w:ascii="Arial" w:cs="Arial" w:eastAsia="Arial" w:hAnsi="Arial"/>
          <w:color w:val="1A1A1A"/>
          <w:sz w:val="21"/>
          <w:szCs w:val="21"/>
        </w:rPr>
        <w:t xml:space="preserve">Avoid inspirational register: no exclamation points, no rhetorical questions that don't have answers, no grand declarations about the reader's potential or the transformative power of books.</w:t>
      </w:r>
    </w:p>
    <w:p>
      <w:pPr>
        <w:spacing w:after="0" w:before="80"/>
      </w:pPr>
    </w:p>
    <w:p>
      <w:pPr>
        <w:pStyle w:val="Heading2"/>
        <w:spacing w:after="120" w:before="280"/>
      </w:pPr>
      <w:r>
        <w:rPr>
          <w:rFonts w:ascii="Arial" w:cs="Arial" w:eastAsia="Arial" w:hAnsi="Arial"/>
          <w:b/>
          <w:bCs/>
          <w:color w:val="1B3A5C"/>
          <w:sz w:val="27"/>
          <w:szCs w:val="27"/>
        </w:rPr>
        <w:t xml:space="preserve">4C.  Intellectual Honesty Standards</w:t>
      </w:r>
    </w:p>
    <w:p>
      <w:pPr>
        <w:pStyle w:val="ListParagraph"/>
        <w:numPr>
          <w:ilvl w:val="0"/>
          <w:numId w:val="2"/>
        </w:numPr>
        <w:spacing w:after="40" w:before="40"/>
      </w:pPr>
      <w:r>
        <w:rPr>
          <w:rFonts w:ascii="Arial" w:cs="Arial" w:eastAsia="Arial" w:hAnsi="Arial"/>
          <w:color w:val="1A1A1A"/>
          <w:sz w:val="21"/>
          <w:szCs w:val="21"/>
        </w:rPr>
        <w:t xml:space="preserve">Every book has limitations. Note them in Section 2 when they are substantive. An uncritical entry is an untrustworthy entry. The reader will notice when a book is treated as flawless.</w:t>
      </w:r>
    </w:p>
    <w:p>
      <w:pPr>
        <w:pStyle w:val="ListParagraph"/>
        <w:numPr>
          <w:ilvl w:val="0"/>
          <w:numId w:val="2"/>
        </w:numPr>
        <w:spacing w:after="40" w:before="40"/>
      </w:pPr>
      <w:r>
        <w:rPr>
          <w:rFonts w:ascii="Arial" w:cs="Arial" w:eastAsia="Arial" w:hAnsi="Arial"/>
          <w:color w:val="1A1A1A"/>
          <w:sz w:val="21"/>
          <w:szCs w:val="21"/>
        </w:rPr>
        <w:t xml:space="preserve">Do not attribute views to a book's author that the author did not express. Paraphrase accurately. When in doubt, generalize rather than attribute.</w:t>
      </w:r>
    </w:p>
    <w:p>
      <w:pPr>
        <w:pStyle w:val="ListParagraph"/>
        <w:numPr>
          <w:ilvl w:val="0"/>
          <w:numId w:val="2"/>
        </w:numPr>
        <w:spacing w:after="40" w:before="40"/>
      </w:pPr>
      <w:r>
        <w:rPr>
          <w:rFonts w:ascii="Arial" w:cs="Arial" w:eastAsia="Arial" w:hAnsi="Arial"/>
          <w:color w:val="1A1A1A"/>
          <w:sz w:val="21"/>
          <w:szCs w:val="21"/>
        </w:rPr>
        <w:t xml:space="preserve">Do not claim that a book 'will change how you think' or 'offers the definitive answer.' The platform's posture is: here is what this book offers, here is how I see it connecting to your situation, and here is what you can do with it. Nothing more.</w:t>
      </w:r>
    </w:p>
    <w:p>
      <w:pPr>
        <w:pStyle w:val="ListParagraph"/>
        <w:numPr>
          <w:ilvl w:val="0"/>
          <w:numId w:val="2"/>
        </w:numPr>
        <w:spacing w:after="40" w:before="40"/>
      </w:pPr>
      <w:r>
        <w:rPr>
          <w:rFonts w:ascii="Arial" w:cs="Arial" w:eastAsia="Arial" w:hAnsi="Arial"/>
          <w:color w:val="1A1A1A"/>
          <w:sz w:val="21"/>
          <w:szCs w:val="21"/>
        </w:rPr>
        <w:t xml:space="preserve">When a book is philosophically demanding or its ideas have limitations in the transition context, say so directly. The reader is an experienced leader. Treat them accordingly.</w:t>
      </w:r>
    </w:p>
    <w:p>
      <w:pPr>
        <w:spacing w:after="0" w:before="80"/>
      </w:pPr>
    </w:p>
    <w:p>
      <w:pPr>
        <w:pStyle w:val="Heading2"/>
        <w:spacing w:after="120" w:before="280"/>
      </w:pPr>
      <w:r>
        <w:rPr>
          <w:rFonts w:ascii="Arial" w:cs="Arial" w:eastAsia="Arial" w:hAnsi="Arial"/>
          <w:b/>
          <w:bCs/>
          <w:color w:val="1B3A5C"/>
          <w:sz w:val="27"/>
          <w:szCs w:val="27"/>
        </w:rPr>
        <w:t xml:space="preserve">4D.  What Never Appears in Any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Never use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Because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Quotes from the book</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This is an analysis and commentary platform, not a quotation repository. Paraphrase the idea; don't reproduce the language.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Chapter summaries or outlines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Chapter-by-chapter coverage signals summary rather than analysis. Extract the ideas; don't retrace the structure.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Author biography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More than a single-sentence biographical note (if needed for context) has no place here. The ideas matter, not the resume.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Star ratings or comparative rankings</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The platform does not rank books against each other or assign quality scores. Every entry treats its book as worthwhile.</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The phrase 'this book changed my life'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Or any variation. The motivational register is explicitly off-limits.</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First-person autobiography</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The commentary voice is shaped by experience, not narrated by it. Never 'I served for 27 years' or 'when I was in command.'</w:t>
            </w:r>
          </w:p>
        </w:tc>
      </w:tr>
      <w:tr>
        <w:tc>
          <w:tcPr>
            <w:tcW w:type="dxa" w:w="2160"/>
            <w:tcBorders>
              <w:top w:val="single" w:color="CCCCCC" w:sz="1"/>
              <w:left w:val="single" w:color="CCCCCC" w:sz="1"/>
              <w:bottom w:val="single" w:color="CCCCCC" w:sz="1"/>
              <w:right w:val="single" w:color="CCCCCC" w:sz="1"/>
            </w:tcBorders>
            <w:shd w:fill="EBF0F6" w:val="clear"/>
            <w:tcMar>
              <w:top w:type="dxa" w:w="80"/>
              <w:left w:type="dxa" w:w="120"/>
              <w:bottom w:type="dxa" w:w="80"/>
              <w:right w:type="dxa" w:w="100"/>
            </w:tcMar>
          </w:tcPr>
          <w:p>
            <w:r>
              <w:rPr>
                <w:rFonts w:ascii="Arial" w:cs="Arial" w:eastAsia="Arial" w:hAnsi="Arial"/>
                <w:b/>
                <w:bCs/>
                <w:color w:val="1B3A5C"/>
                <w:sz w:val="19"/>
                <w:szCs w:val="19"/>
              </w:rPr>
              <w:t xml:space="preserve">Unsourced claims about the military experience</w:t>
            </w:r>
          </w:p>
        </w:tc>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1A"/>
                <w:sz w:val="20"/>
                <w:szCs w:val="20"/>
              </w:rPr>
              <w:t xml:space="preserve">The platform has authority on military transition because the voice is genuine. Don't dilute that authority with generalizations that don't hold.</w:t>
            </w:r>
          </w:p>
        </w:tc>
      </w:tr>
    </w:tbl>
    <w:p>
      <w:r>
        <w:br w:type="page"/>
      </w:r>
    </w:p>
    <w:p>
      <w:pPr>
        <w:pStyle w:val="Heading1"/>
        <w:spacing w:after="160" w:before="360"/>
      </w:pPr>
      <w:r>
        <w:rPr>
          <w:rFonts w:ascii="Arial" w:cs="Arial" w:eastAsia="Arial" w:hAnsi="Arial"/>
          <w:b/>
          <w:bCs/>
          <w:color w:val="1B3A5C"/>
          <w:sz w:val="36"/>
          <w:szCs w:val="36"/>
        </w:rPr>
        <w:t xml:space="preserve">5.  Quality-Control Checklist</w:t>
      </w:r>
    </w:p>
    <w:p>
      <w:pPr>
        <w:spacing w:after="60" w:before="60"/>
      </w:pPr>
      <w:r>
        <w:rPr>
          <w:rFonts w:ascii="Arial" w:cs="Arial" w:eastAsia="Arial" w:hAnsi="Arial"/>
          <w:b w:val="false"/>
          <w:bCs w:val="false"/>
          <w:i w:val="false"/>
          <w:iCs w:val="false"/>
          <w:color w:val="1A1A1A"/>
          <w:sz w:val="21"/>
          <w:szCs w:val="21"/>
        </w:rPr>
        <w:t xml:space="preserve">Every entry must pass this checklist before publication. The checklist is organized by section. No entry may be marked complete unless all boxes are checked.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600"/>
        <w:gridCol w:w="5280"/>
      </w:tblGrid>
      <w:tr>
        <w:tc>
          <w:tcPr>
            <w:tcW w:type="dxa" w:w="480"/>
            <w:tcBorders>
              <w:top w:val="single" w:color="CCCCCC" w:sz="1"/>
              <w:left w:val="single" w:color="CCCCCC" w:sz="1"/>
              <w:bottom w:val="single" w:color="CCCCCC" w:sz="1"/>
              <w:right w:val="single" w:color="CCCCCC" w:sz="1"/>
            </w:tcBorders>
            <w:shd w:fill="1B3A5C"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00"/>
            </w:tcMar>
          </w:tcPr>
          <w:p>
            <w:r>
              <w:rPr>
                <w:rFonts w:ascii="Arial" w:cs="Arial" w:eastAsia="Arial" w:hAnsi="Arial"/>
                <w:b/>
                <w:bCs/>
                <w:color w:val="FFFFFF"/>
                <w:sz w:val="18"/>
                <w:szCs w:val="18"/>
              </w:rPr>
              <w:t xml:space="preserve">Section</w:t>
            </w:r>
          </w:p>
        </w:tc>
        <w:tc>
          <w:tcPr>
            <w:tcW w:type="dxa" w:w="5280"/>
            <w:tcBorders>
              <w:top w:val="single" w:color="CCCCCC" w:sz="1"/>
              <w:left w:val="single" w:color="CCCCCC" w:sz="1"/>
              <w:bottom w:val="single" w:color="CCCCCC" w:sz="1"/>
              <w:right w:val="single" w:color="CCCCCC" w:sz="1"/>
            </w:tcBorders>
            <w:shd w:fill="1B3A5C" w:val="clear"/>
            <w:tcMar>
              <w:top w:type="dxa" w:w="70"/>
              <w:left w:type="dxa" w:w="120"/>
              <w:bottom w:type="dxa" w:w="70"/>
              <w:right w:type="dxa" w:w="100"/>
            </w:tcMar>
          </w:tcPr>
          <w:p>
            <w:r>
              <w:rPr>
                <w:rFonts w:ascii="Arial" w:cs="Arial" w:eastAsia="Arial" w:hAnsi="Arial"/>
                <w:b/>
                <w:bCs/>
                <w:color w:val="FFFFFF"/>
                <w:sz w:val="18"/>
                <w:szCs w:val="18"/>
              </w:rPr>
              <w:t xml:space="preserve">Quality Gate</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Metadata</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Book Header Block is complete</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Title, author, year, description, tier, and canon status all present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Description is one sentence, ≤30 words, states the argument not the content</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Read it aloud — does it tell you what the book is for?</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All taxonomy tags use only approved values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Cross-check against Taxonomy &amp; Content Standards Guide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3–7 leadership themes assigned, all genuinely present in the book</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If you can't cite where a theme appears, remove it</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2–5 transition themes assigned, prioritized for the primary reader</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Would a transitioning military leader find each theme relevant?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1–5 pathways assigned, all genuinely appropriate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The book should earn each pathway, not simply touch it</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2–6 Cross-Book Wisdom themes assigned with precision</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Each theme must map to a specific section of the Wisdom Engine analysis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3–5 key lessons stated as complete declarative sentences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Not bullet fragments — full sentences that could stand alone</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3–5 related books listed with one-sentence connections each</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Each connection states the specific relationship, not just the theme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5–10 search keywords assigned in lowercase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Think: what would the reader type to find this entry?</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Opening Hook</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Opens with the reader's experience, not the book's content</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First sentence should make a reader recognize themselves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No author biography or publication history in the opening</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Context belongs in Section 2, not the hook</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75–150 words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Check word count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Tone is measured, not excited</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Read aloud — does it sound like a conversation or a pitch?</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Book Analysis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Central argument stated in entry author's own words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Not paraphrased from the jacket copy — analyzed from the content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2–3 key frameworks or ideas explained with sufficient depth</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Could a reader explain these ideas to someone else after reading this section?</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Author's methodology or approach characterized accurately</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Research / narrative / philosophy / case study — be specific</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At least one honest limitation or caveat included</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Uncritical entries are untrustworthy</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300–450 words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Check word count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No chapter summaries or structural outlines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Extract ideas, don't retrace the table of contents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No direct quotes from the book</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Paraphrase and analyze — do not reproduce</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Leadership Transition Commentary</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Direct connection to military transition experience, not generic career transition</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The military-specific lens is what this platform offers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At least one observation specific to military leaders vs. the general reader</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What does this book offer someone who has worn a uniform?</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Honest acknowledgment of difficulty or incompleteness where warranted</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Not every book solves every problem cleanly</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At least one connection to identity, purpose, belonging, or reinvention</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These are the platform's core transition themes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350–500 words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Check word count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Passes the 'experienced leader' test</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Read aloud — does it sound like a peer conversation or a consulting presentation?</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No motivational language, no grand declarations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Check against Voice &amp; Style Guide prohibitions</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Practical Applications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3–5 numbered applications, each beginning with an action verb</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Not 'consider' or 'think about' — direct the reader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At least one application specific to the transition experience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Covers identity, career change, civilian integration, or retirement</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At least one application relevant to active leadership</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The reader may still be leading while transitioning</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150–250 words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Check word count</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Each application is specific enough to act on</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Would the reader know exactly what to do with this?</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Reflection Questions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Exactly four questions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Not three, not five — four</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Covers all four required categories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Identity/self-awareness, transition experience, purpose/legacy, book-specific application</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Written in second person</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You, not they or one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None are comprehension questions about the book</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The reader is reflecting on themselves, not testing their reading</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None presuppose a specific transition stage</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Questions must apply whether the reader is active-duty, separating, or already out</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Cross-Book Wisdom Connections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Minimum connections met for this book's tier</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Specialized: 2, Supporting/Advanced: 3, Core/Foundational: 4</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Each connection names the specific converging idea, not just the theme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Not 'both books discuss resilience' — what specifically converges?</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At least one connection crosses genre, tradition, or era</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A modern leadership book should connect to philosophy, history, or another tradition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Each connection maps to an approved Cross-Book Wisdom Theme</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Check against the 15-theme approved list</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150–250 words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Check word count</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Closing Reflection</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Delivers all four closing elements: perspective, practical wisdom, hope, humility</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All four must be present — check each one</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Does not summarize the entry</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The closing moves forward, not backward</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No motivational register</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Read the last sentence aloud. If it belongs on a poster, rewrite it</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100–175 words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Check word count</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Passes the tone test</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Does it sound like an experienced person speaking honestly to someone they respect?</w:t>
            </w:r>
          </w:p>
        </w:tc>
      </w:tr>
      <w:tr>
        <w:tc>
          <w:tcPr>
            <w:tcW w:type="dxa" w:w="480"/>
            <w:gridSpan w:val="3"/>
            <w:tcBorders>
              <w:top w:val="single" w:color="CCCCCC" w:sz="1"/>
              <w:left w:val="single" w:color="CCCCCC" w:sz="1"/>
              <w:bottom w:val="single" w:color="CCCCCC" w:sz="1"/>
              <w:right w:val="single" w:color="CCCCCC" w:sz="1"/>
            </w:tcBorders>
            <w:shd w:fill="C5D5E8" w:val="clear"/>
            <w:tcMar>
              <w:top w:type="dxa" w:w="60"/>
              <w:left w:type="dxa" w:w="100"/>
              <w:bottom w:type="dxa" w:w="60"/>
              <w:right w:type="dxa" w:w="100"/>
            </w:tcMar>
          </w:tcPr>
          <w:p>
            <w:r>
              <w:rPr>
                <w:rFonts w:ascii="Arial" w:cs="Arial" w:eastAsia="Arial" w:hAnsi="Arial"/>
                <w:b/>
                <w:bCs/>
                <w:color w:val="1B3A5C"/>
                <w:sz w:val="19"/>
                <w:szCs w:val="19"/>
              </w:rPr>
              <w:t xml:space="preserve">Overall Entry</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Answers all three quality questions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What did the author teach? Why does it matter for leadership? How does it apply to major life transitions?</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Total body content 1,200–2,000 words</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Check total word count excluding metadata</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No leadership clichés present</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Search for: game-changer, paradigm shift, move the needle, at the end of the day, lean in</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No first-person autobiography</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Search for: 'I served,' 'in my experience,' 'when I was in command,' 'as a naval officer'</w:t>
            </w:r>
          </w:p>
        </w:tc>
      </w:tr>
      <w:tr>
        <w:tc>
          <w:tcPr>
            <w:tcW w:type="dxa" w:w="480"/>
            <w:tcBorders>
              <w:top w:val="single" w:color="CCCCCC" w:sz="1"/>
              <w:left w:val="single" w:color="CCCCCC" w:sz="1"/>
              <w:bottom w:val="single" w:color="CCCCCC" w:sz="1"/>
              <w:right w:val="single" w:color="CCCCCC" w:sz="1"/>
            </w:tcBorders>
            <w:shd w:fill="EBF0F6"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color w:val="1A1A1A"/>
                <w:sz w:val="19"/>
                <w:szCs w:val="19"/>
              </w:rPr>
              <w:t xml:space="preserve">No direct book quotes</w:t>
            </w:r>
          </w:p>
        </w:tc>
        <w:tc>
          <w:tcPr>
            <w:tcW w:type="dxa" w:w="5280"/>
            <w:tcBorders>
              <w:top w:val="single" w:color="CCCCCC" w:sz="1"/>
              <w:left w:val="single" w:color="CCCCCC" w:sz="1"/>
              <w:bottom w:val="single" w:color="CCCCCC" w:sz="1"/>
              <w:right w:val="single" w:color="CCCCCC" w:sz="1"/>
            </w:tcBorders>
            <w:shd w:fill="EBF0F6" w:val="clear"/>
            <w:tcMar>
              <w:top w:type="dxa" w:w="60"/>
              <w:left w:type="dxa" w:w="120"/>
              <w:bottom w:type="dxa" w:w="60"/>
              <w:right w:type="dxa" w:w="100"/>
            </w:tcMar>
          </w:tcPr>
          <w:p>
            <w:r>
              <w:rPr>
                <w:rFonts w:ascii="Arial" w:cs="Arial" w:eastAsia="Arial" w:hAnsi="Arial"/>
                <w:i/>
                <w:iCs/>
                <w:color w:val="444444"/>
                <w:sz w:val="18"/>
                <w:szCs w:val="18"/>
              </w:rPr>
              <w:t xml:space="preserve">All book content is paraphrased and analyzed</w:t>
            </w:r>
          </w:p>
        </w:tc>
      </w:tr>
      <w:tr>
        <w:tc>
          <w:tcPr>
            <w:tcW w:type="dxa" w:w="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color w:val="888888"/>
                <w:sz w:val="18"/>
                <w:szCs w:val="18"/>
              </w:rPr>
              <w:t xml:space="preserv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color w:val="1A1A1A"/>
                <w:sz w:val="19"/>
                <w:szCs w:val="19"/>
              </w:rPr>
              <w:t xml:space="preserve">Voice is consistent throughout</w:t>
            </w:r>
          </w:p>
        </w:tc>
        <w:tc>
          <w:tcPr>
            <w:tcW w:type="dxa" w:w="5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tcPr>
          <w:p>
            <w:r>
              <w:rPr>
                <w:rFonts w:ascii="Arial" w:cs="Arial" w:eastAsia="Arial" w:hAnsi="Arial"/>
                <w:i/>
                <w:iCs/>
                <w:color w:val="444444"/>
                <w:sz w:val="18"/>
                <w:szCs w:val="18"/>
              </w:rPr>
              <w:t xml:space="preserve">Book 1 and Book 40 should feel like the same experienced leader wrote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A4A5C" w:val="clear"/>
            <w:tcMar>
              <w:top w:type="dxa" w:w="160"/>
              <w:left w:type="dxa" w:w="280"/>
              <w:bottom w:type="dxa" w:w="120"/>
              <w:right w:type="dxa" w:w="280"/>
            </w:tcMar>
          </w:tcPr>
          <w:p>
            <w:r>
              <w:rPr>
                <w:rFonts w:ascii="Arial" w:cs="Arial" w:eastAsia="Arial" w:hAnsi="Arial"/>
                <w:b/>
                <w:bCs/>
                <w:color w:val="FFFFFF"/>
                <w:sz w:val="30"/>
                <w:szCs w:val="30"/>
              </w:rPr>
              <w:t xml:space="preserve">PART TWO</w:t>
            </w:r>
          </w:p>
          <w:p>
            <w:pPr>
              <w:spacing w:before="40"/>
            </w:pPr>
            <w:r>
              <w:rPr>
                <w:rFonts w:ascii="Arial" w:cs="Arial" w:eastAsia="Arial" w:hAnsi="Arial"/>
                <w:i/>
                <w:iCs/>
                <w:color w:val="D0DCE8"/>
                <w:sz w:val="20"/>
                <w:szCs w:val="20"/>
              </w:rPr>
              <w:t xml:space="preserve">Annotated Example — What 'Excellent' Looks Like for Every Section</w:t>
            </w:r>
          </w:p>
        </w:tc>
      </w:tr>
    </w:tbl>
    <w:p>
      <w:pPr>
        <w:spacing w:after="0" w:before="120"/>
      </w:pPr>
    </w:p>
    <w:p>
      <w:pPr>
        <w:spacing w:after="60" w:before="60"/>
      </w:pPr>
      <w:r>
        <w:rPr>
          <w:rFonts w:ascii="Arial" w:cs="Arial" w:eastAsia="Arial" w:hAnsi="Arial"/>
          <w:b w:val="false"/>
          <w:bCs w:val="false"/>
          <w:i w:val="false"/>
          <w:iCs w:val="false"/>
          <w:color w:val="1A1A1A"/>
          <w:sz w:val="21"/>
          <w:szCs w:val="21"/>
        </w:rPr>
        <w:t xml:space="preserve">The following annotated example demonstrates every section of the blueprint at the quality standard this platform requires. It uses a fictional book ('The Weight of What Remains' by a fictional author) to show the form, voice, and depth without binding the example to the analysis of any real title.</w:t>
      </w:r>
    </w:p>
    <w:p>
      <w:pPr>
        <w:spacing w:after="60" w:before="60"/>
      </w:pPr>
      <w:r>
        <w:rPr>
          <w:rFonts w:ascii="Arial" w:cs="Arial" w:eastAsia="Arial" w:hAnsi="Arial"/>
          <w:b w:val="false"/>
          <w:bCs w:val="false"/>
          <w:i w:val="false"/>
          <w:iCs w:val="false"/>
          <w:color w:val="444444"/>
          <w:sz w:val="21"/>
          <w:szCs w:val="21"/>
        </w:rPr>
        <w:t xml:space="preserve">Annotations appear in gold-bordered boxes beneath each section. They explain what the example is doing and why it meets the standard. Read the example, then read the annotation — that sequence reveals the reasoning behind the choices.</w:t>
      </w:r>
    </w:p>
    <w:p>
      <w:pPr>
        <w:spacing w:after="0" w:before="80"/>
      </w:pPr>
    </w:p>
    <w:p>
      <w:pPr>
        <w:pStyle w:val="Heading2"/>
        <w:spacing w:after="120" w:before="280"/>
      </w:pPr>
      <w:r>
        <w:rPr>
          <w:rFonts w:ascii="Arial" w:cs="Arial" w:eastAsia="Arial" w:hAnsi="Arial"/>
          <w:b/>
          <w:bCs/>
          <w:color w:val="1B3A5C"/>
          <w:sz w:val="27"/>
          <w:szCs w:val="27"/>
        </w:rPr>
        <w:t xml:space="preserve">Annotated Example — Book Header Block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5C" w:sz="20"/>
              <w:bottom w:val="none" w:color="FFFFFF" w:sz="0"/>
              <w:right w:val="none" w:color="FFFFFF" w:sz="0"/>
            </w:tcBorders>
            <w:shd w:fill="EBF0F6" w:val="clear"/>
            <w:tcMar>
              <w:top w:type="dxa" w:w="100"/>
              <w:left w:type="dxa" w:w="200"/>
              <w:bottom w:type="dxa" w:w="100"/>
              <w:right w:type="dxa" w:w="200"/>
            </w:tcMar>
          </w:tcPr>
          <w:p>
            <w:pPr>
              <w:spacing w:after="60" w:before="0"/>
            </w:pPr>
            <w:r>
              <w:rPr>
                <w:rFonts w:ascii="Arial" w:cs="Arial" w:eastAsia="Arial" w:hAnsi="Arial"/>
                <w:b/>
                <w:bCs/>
                <w:color w:val="1B3A5C"/>
                <w:sz w:val="17"/>
                <w:szCs w:val="17"/>
              </w:rPr>
              <w:t xml:space="preserve">EXAMPLE  ›  Book Header Block</w:t>
            </w:r>
          </w:p>
          <w:p>
            <w:pPr>
              <w:spacing w:after="30" w:before="30"/>
            </w:pPr>
            <w:r>
              <w:rPr>
                <w:rFonts w:ascii="Arial" w:cs="Arial" w:eastAsia="Arial" w:hAnsi="Arial"/>
                <w:b/>
                <w:bCs/>
                <w:color w:val="1B3A5C"/>
                <w:sz w:val="18"/>
                <w:szCs w:val="18"/>
              </w:rPr>
              <w:t xml:space="preserve">Title: </w:t>
            </w:r>
            <w:r>
              <w:rPr>
                <w:rFonts w:ascii="Arial" w:cs="Arial" w:eastAsia="Arial" w:hAnsi="Arial"/>
                <w:color w:val="1A1A1A"/>
                <w:sz w:val="18"/>
                <w:szCs w:val="18"/>
              </w:rPr>
              <w:t xml:space="preserve">The Weight of What Remains</w:t>
            </w:r>
          </w:p>
          <w:p>
            <w:pPr>
              <w:spacing w:after="30" w:before="30"/>
            </w:pPr>
            <w:r>
              <w:rPr>
                <w:rFonts w:ascii="Arial" w:cs="Arial" w:eastAsia="Arial" w:hAnsi="Arial"/>
                <w:b/>
                <w:bCs/>
                <w:color w:val="1B3A5C"/>
                <w:sz w:val="18"/>
                <w:szCs w:val="18"/>
              </w:rPr>
              <w:t xml:space="preserve">Author: </w:t>
            </w:r>
            <w:r>
              <w:rPr>
                <w:rFonts w:ascii="Arial" w:cs="Arial" w:eastAsia="Arial" w:hAnsi="Arial"/>
                <w:color w:val="1A1A1A"/>
                <w:sz w:val="18"/>
                <w:szCs w:val="18"/>
              </w:rPr>
              <w:t xml:space="preserve">J.R. Harmon</w:t>
            </w:r>
          </w:p>
          <w:p>
            <w:pPr>
              <w:spacing w:after="30" w:before="30"/>
            </w:pPr>
            <w:r>
              <w:rPr>
                <w:rFonts w:ascii="Arial" w:cs="Arial" w:eastAsia="Arial" w:hAnsi="Arial"/>
                <w:b/>
                <w:bCs/>
                <w:color w:val="1B3A5C"/>
                <w:sz w:val="18"/>
                <w:szCs w:val="18"/>
              </w:rPr>
              <w:t xml:space="preserve">Year: </w:t>
            </w:r>
            <w:r>
              <w:rPr>
                <w:rFonts w:ascii="Arial" w:cs="Arial" w:eastAsia="Arial" w:hAnsi="Arial"/>
                <w:color w:val="1A1A1A"/>
                <w:sz w:val="18"/>
                <w:szCs w:val="18"/>
              </w:rPr>
              <w:t xml:space="preserve">2018</w:t>
            </w:r>
          </w:p>
          <w:p>
            <w:pPr>
              <w:spacing w:after="30" w:before="30"/>
            </w:pPr>
            <w:r>
              <w:rPr>
                <w:rFonts w:ascii="Arial" w:cs="Arial" w:eastAsia="Arial" w:hAnsi="Arial"/>
                <w:b/>
                <w:bCs/>
                <w:color w:val="1B3A5C"/>
                <w:sz w:val="18"/>
                <w:szCs w:val="18"/>
              </w:rPr>
              <w:t xml:space="preserve">Description: </w:t>
            </w:r>
            <w:r>
              <w:rPr>
                <w:rFonts w:ascii="Arial" w:cs="Arial" w:eastAsia="Arial" w:hAnsi="Arial"/>
                <w:color w:val="1A1A1A"/>
                <w:sz w:val="18"/>
                <w:szCs w:val="18"/>
              </w:rPr>
              <w:t xml:space="preserve">Harmon argues that leaders who build their identity around institutional authority — rather than earned character — face a reckoning when the institution no longer holds them.</w:t>
            </w:r>
          </w:p>
          <w:p>
            <w:pPr>
              <w:spacing w:after="30" w:before="30"/>
            </w:pPr>
            <w:r>
              <w:rPr>
                <w:rFonts w:ascii="Arial" w:cs="Arial" w:eastAsia="Arial" w:hAnsi="Arial"/>
                <w:b/>
                <w:bCs/>
                <w:color w:val="1B3A5C"/>
                <w:sz w:val="18"/>
                <w:szCs w:val="18"/>
              </w:rPr>
              <w:t xml:space="preserve">Library Tier: </w:t>
            </w:r>
            <w:r>
              <w:rPr>
                <w:rFonts w:ascii="Arial" w:cs="Arial" w:eastAsia="Arial" w:hAnsi="Arial"/>
                <w:color w:val="1A1A1A"/>
                <w:sz w:val="18"/>
                <w:szCs w:val="18"/>
              </w:rPr>
              <w:t xml:space="preserve">Foundational Canon</w:t>
            </w:r>
          </w:p>
          <w:p>
            <w:pPr>
              <w:spacing w:after="30" w:before="30"/>
            </w:pPr>
            <w:r>
              <w:rPr>
                <w:rFonts w:ascii="Arial" w:cs="Arial" w:eastAsia="Arial" w:hAnsi="Arial"/>
                <w:b/>
                <w:bCs/>
                <w:color w:val="1B3A5C"/>
                <w:sz w:val="18"/>
                <w:szCs w:val="18"/>
              </w:rPr>
              <w:t xml:space="preserve">Canon Status: </w:t>
            </w:r>
            <w:r>
              <w:rPr>
                <w:rFonts w:ascii="Arial" w:cs="Arial" w:eastAsia="Arial" w:hAnsi="Arial"/>
                <w:color w:val="1A1A1A"/>
                <w:sz w:val="18"/>
                <w:szCs w:val="18"/>
              </w:rPr>
              <w:t xml:space="preserve">Foundational Canon  •  Core Transition Canon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Book Header Block</w:t>
            </w:r>
          </w:p>
          <w:p>
            <w:pPr>
              <w:spacing w:after="0" w:before="0"/>
            </w:pPr>
            <w:r>
              <w:rPr>
                <w:rFonts w:ascii="Arial" w:cs="Arial" w:eastAsia="Arial" w:hAnsi="Arial"/>
                <w:i/>
                <w:iCs/>
                <w:color w:val="5C3A1C"/>
                <w:sz w:val="19"/>
                <w:szCs w:val="19"/>
              </w:rPr>
              <w:t xml:space="preserve">The description is 29 words — within the 30-word limit. It states the book's argument (identity built on authority vs. character) and implies the consequence (a reckoning), without summarizing the book's content or using the language of endorsement. Notice: it does not say 'this important book explores how leaders can build resilience.' It states the book's thesis in plain language. A reader who reads only this description knows what the book is arguing and why it might matter to them.</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Taxonomy Tags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5C" w:sz="20"/>
              <w:bottom w:val="none" w:color="FFFFFF" w:sz="0"/>
              <w:right w:val="none" w:color="FFFFFF" w:sz="0"/>
            </w:tcBorders>
            <w:shd w:fill="EBF0F6" w:val="clear"/>
            <w:tcMar>
              <w:top w:type="dxa" w:w="100"/>
              <w:left w:type="dxa" w:w="200"/>
              <w:bottom w:type="dxa" w:w="100"/>
              <w:right w:type="dxa" w:w="200"/>
            </w:tcMar>
          </w:tcPr>
          <w:p>
            <w:pPr>
              <w:spacing w:after="60" w:before="0"/>
            </w:pPr>
            <w:r>
              <w:rPr>
                <w:rFonts w:ascii="Arial" w:cs="Arial" w:eastAsia="Arial" w:hAnsi="Arial"/>
                <w:b/>
                <w:bCs/>
                <w:color w:val="1B3A5C"/>
                <w:sz w:val="17"/>
                <w:szCs w:val="17"/>
              </w:rPr>
              <w:t xml:space="preserve">EXAMPLE  ›  Taxonomy Tags</w:t>
            </w:r>
          </w:p>
          <w:p>
            <w:pPr>
              <w:spacing w:after="30" w:before="30"/>
            </w:pPr>
            <w:r>
              <w:rPr>
                <w:rFonts w:ascii="Arial" w:cs="Arial" w:eastAsia="Arial" w:hAnsi="Arial"/>
                <w:b/>
                <w:bCs/>
                <w:color w:val="1B3A5C"/>
                <w:sz w:val="18"/>
                <w:szCs w:val="18"/>
              </w:rPr>
              <w:t xml:space="preserve">Categories: </w:t>
            </w:r>
            <w:r>
              <w:rPr>
                <w:rFonts w:ascii="Arial" w:cs="Arial" w:eastAsia="Arial" w:hAnsi="Arial"/>
                <w:color w:val="1A1A1A"/>
                <w:sz w:val="18"/>
                <w:szCs w:val="18"/>
              </w:rPr>
              <w:t xml:space="preserve">Leadership  •  Personal Development  •  Psychology</w:t>
            </w:r>
          </w:p>
          <w:p>
            <w:pPr>
              <w:spacing w:after="30" w:before="30"/>
            </w:pPr>
            <w:r>
              <w:rPr>
                <w:rFonts w:ascii="Arial" w:cs="Arial" w:eastAsia="Arial" w:hAnsi="Arial"/>
                <w:b/>
                <w:bCs/>
                <w:color w:val="1B3A5C"/>
                <w:sz w:val="18"/>
                <w:szCs w:val="18"/>
              </w:rPr>
              <w:t xml:space="preserve">Leadership Themes: </w:t>
            </w:r>
            <w:r>
              <w:rPr>
                <w:rFonts w:ascii="Arial" w:cs="Arial" w:eastAsia="Arial" w:hAnsi="Arial"/>
                <w:color w:val="1A1A1A"/>
                <w:sz w:val="18"/>
                <w:szCs w:val="18"/>
              </w:rPr>
              <w:t xml:space="preserve">Self-Awareness  •  Character  •  Accountability  •  Humility  •  Adaptability</w:t>
            </w:r>
          </w:p>
          <w:p>
            <w:pPr>
              <w:spacing w:after="30" w:before="30"/>
            </w:pPr>
            <w:r>
              <w:rPr>
                <w:rFonts w:ascii="Arial" w:cs="Arial" w:eastAsia="Arial" w:hAnsi="Arial"/>
                <w:b/>
                <w:bCs/>
                <w:color w:val="1B3A5C"/>
                <w:sz w:val="18"/>
                <w:szCs w:val="18"/>
              </w:rPr>
              <w:t xml:space="preserve">Transition Themes: </w:t>
            </w:r>
            <w:r>
              <w:rPr>
                <w:rFonts w:ascii="Arial" w:cs="Arial" w:eastAsia="Arial" w:hAnsi="Arial"/>
                <w:color w:val="1A1A1A"/>
                <w:sz w:val="18"/>
                <w:szCs w:val="18"/>
              </w:rPr>
              <w:t xml:space="preserve">Identity  •  Reinvention  •  Uncertainty  •  Personal Growth</w:t>
            </w:r>
          </w:p>
          <w:p>
            <w:pPr>
              <w:spacing w:after="30" w:before="30"/>
            </w:pPr>
            <w:r>
              <w:rPr>
                <w:rFonts w:ascii="Arial" w:cs="Arial" w:eastAsia="Arial" w:hAnsi="Arial"/>
                <w:b/>
                <w:bCs/>
                <w:color w:val="1B3A5C"/>
                <w:sz w:val="18"/>
                <w:szCs w:val="18"/>
              </w:rPr>
              <w:t xml:space="preserve">Pathways: </w:t>
            </w:r>
            <w:r>
              <w:rPr>
                <w:rFonts w:ascii="Arial" w:cs="Arial" w:eastAsia="Arial" w:hAnsi="Arial"/>
                <w:color w:val="1A1A1A"/>
                <w:sz w:val="18"/>
                <w:szCs w:val="18"/>
              </w:rPr>
              <w:t xml:space="preserve">Identity Beyond Rank  •  Preparing for Retirement  •  Resilience Under Pressure  •  Personal Growth &amp; Reflection</w:t>
            </w:r>
          </w:p>
          <w:p>
            <w:pPr>
              <w:spacing w:after="30" w:before="30"/>
            </w:pPr>
            <w:r>
              <w:rPr>
                <w:rFonts w:ascii="Arial" w:cs="Arial" w:eastAsia="Arial" w:hAnsi="Arial"/>
                <w:b/>
                <w:bCs/>
                <w:color w:val="1B3A5C"/>
                <w:sz w:val="18"/>
                <w:szCs w:val="18"/>
              </w:rPr>
              <w:t xml:space="preserve">Wisdom Themes: </w:t>
            </w:r>
            <w:r>
              <w:rPr>
                <w:rFonts w:ascii="Arial" w:cs="Arial" w:eastAsia="Arial" w:hAnsi="Arial"/>
                <w:color w:val="1A1A1A"/>
                <w:sz w:val="18"/>
                <w:szCs w:val="18"/>
              </w:rPr>
              <w:t xml:space="preserve">Identity  •  Character  •  Resilience  •  Accountability</w:t>
            </w:r>
          </w:p>
          <w:p>
            <w:pPr>
              <w:spacing w:after="10" w:before="30"/>
            </w:pPr>
            <w:r>
              <w:rPr>
                <w:rFonts w:ascii="Arial" w:cs="Arial" w:eastAsia="Arial" w:hAnsi="Arial"/>
                <w:b/>
                <w:bCs/>
                <w:color w:val="1B3A5C"/>
                <w:sz w:val="18"/>
                <w:szCs w:val="18"/>
              </w:rPr>
              <w:t xml:space="preserve">Key Lessons:</w:t>
            </w:r>
          </w:p>
          <w:p>
            <w:pPr>
              <w:spacing w:after="30" w:before="30"/>
              <w:ind w:left="320" w:hanging="280"/>
            </w:pPr>
            <w:r>
              <w:rPr>
                <w:rFonts w:ascii="Arial" w:cs="Arial" w:eastAsia="Arial" w:hAnsi="Arial"/>
                <w:b/>
                <w:bCs/>
                <w:color w:val="1A1A1A"/>
                <w:sz w:val="19"/>
                <w:szCs w:val="19"/>
              </w:rPr>
              <w:t xml:space="preserve">•  </w:t>
            </w:r>
            <w:r>
              <w:rPr>
                <w:rFonts w:ascii="Arial" w:cs="Arial" w:eastAsia="Arial" w:hAnsi="Arial"/>
                <w:color w:val="1A1A1A"/>
                <w:sz w:val="19"/>
                <w:szCs w:val="19"/>
              </w:rPr>
              <w:t xml:space="preserve">Authority is a position; character is the person — only one of them survives the transition.</w:t>
            </w:r>
          </w:p>
          <w:p>
            <w:pPr>
              <w:spacing w:after="30" w:before="30"/>
              <w:ind w:left="320" w:hanging="280"/>
            </w:pPr>
            <w:r>
              <w:rPr>
                <w:rFonts w:ascii="Arial" w:cs="Arial" w:eastAsia="Arial" w:hAnsi="Arial"/>
                <w:b/>
                <w:bCs/>
                <w:color w:val="1A1A1A"/>
                <w:sz w:val="19"/>
                <w:szCs w:val="19"/>
              </w:rPr>
              <w:t xml:space="preserve">•  </w:t>
            </w:r>
            <w:r>
              <w:rPr>
                <w:rFonts w:ascii="Arial" w:cs="Arial" w:eastAsia="Arial" w:hAnsi="Arial"/>
                <w:color w:val="1A1A1A"/>
                <w:sz w:val="19"/>
                <w:szCs w:val="19"/>
              </w:rPr>
              <w:t xml:space="preserve">Leaders who conflate rank with identity do not lose their identity when they leave service — they discover they never built one independent of it.</w:t>
            </w:r>
          </w:p>
          <w:p>
            <w:pPr>
              <w:spacing w:after="30" w:before="30"/>
              <w:ind w:left="320" w:hanging="280"/>
            </w:pPr>
            <w:r>
              <w:rPr>
                <w:rFonts w:ascii="Arial" w:cs="Arial" w:eastAsia="Arial" w:hAnsi="Arial"/>
                <w:b/>
                <w:bCs/>
                <w:color w:val="1A1A1A"/>
                <w:sz w:val="19"/>
                <w:szCs w:val="19"/>
              </w:rPr>
              <w:t xml:space="preserve">•  </w:t>
            </w:r>
            <w:r>
              <w:rPr>
                <w:rFonts w:ascii="Arial" w:cs="Arial" w:eastAsia="Arial" w:hAnsi="Arial"/>
                <w:color w:val="1A1A1A"/>
                <w:sz w:val="19"/>
                <w:szCs w:val="19"/>
              </w:rPr>
              <w:t xml:space="preserve">The work of rebuilding identity after transition cannot begin until the leader is honest about what they were using the institution to avoid.</w:t>
            </w:r>
          </w:p>
          <w:p>
            <w:pPr>
              <w:spacing w:after="30" w:before="30"/>
            </w:pPr>
            <w:r>
              <w:rPr>
                <w:rFonts w:ascii="Arial" w:cs="Arial" w:eastAsia="Arial" w:hAnsi="Arial"/>
                <w:b/>
                <w:bCs/>
                <w:color w:val="1B3A5C"/>
                <w:sz w:val="18"/>
                <w:szCs w:val="18"/>
              </w:rPr>
              <w:t xml:space="preserve">Keywords: </w:t>
            </w:r>
            <w:r>
              <w:rPr>
                <w:rFonts w:ascii="Arial" w:cs="Arial" w:eastAsia="Arial" w:hAnsi="Arial"/>
                <w:color w:val="1A1A1A"/>
                <w:sz w:val="18"/>
                <w:szCs w:val="18"/>
              </w:rPr>
              <w:t xml:space="preserve">identity, authority, institutional belonging, character, self-deception, military transition, reinvention, leadership identity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Taxonomy Tags</w:t>
            </w:r>
          </w:p>
          <w:p>
            <w:pPr>
              <w:spacing w:after="0" w:before="0"/>
            </w:pPr>
            <w:r>
              <w:rPr>
                <w:rFonts w:ascii="Arial" w:cs="Arial" w:eastAsia="Arial" w:hAnsi="Arial"/>
                <w:i/>
                <w:iCs/>
                <w:color w:val="5C3A1C"/>
                <w:sz w:val="19"/>
                <w:szCs w:val="19"/>
              </w:rPr>
              <w:t xml:space="preserve">Leadership Themes (5) are precise — they reflect what the book genuinely addresses, not what one wishes it addressed. Transition Themes (4) all connect to the book's argument, not to transition in general. Pathways (4) were selected because this book genuinely serves each — the choice was deliberate, not comprehensive. Key Lessons are full declarative sentences, not bullet fragments. Note the second lesson: it doesn't say 'identity and rank are connected' (too vague) — it states the specific mechanism and consequence. That level of precision is the standard.</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Opening Hook</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C5C5A" w:sz="20"/>
              <w:bottom w:val="none" w:color="FFFFFF" w:sz="0"/>
              <w:right w:val="none" w:color="FFFFFF" w:sz="0"/>
            </w:tcBorders>
            <w:shd w:fill="EBF0F6" w:val="clear"/>
            <w:tcMar>
              <w:top w:type="dxa" w:w="100"/>
              <w:left w:type="dxa" w:w="200"/>
              <w:bottom w:type="dxa" w:w="100"/>
              <w:right w:type="dxa" w:w="200"/>
            </w:tcMar>
          </w:tcPr>
          <w:p>
            <w:pPr>
              <w:spacing w:after="60" w:before="0"/>
            </w:pPr>
            <w:r>
              <w:rPr>
                <w:rFonts w:ascii="Arial" w:cs="Arial" w:eastAsia="Arial" w:hAnsi="Arial"/>
                <w:b/>
                <w:bCs/>
                <w:color w:val="1C5C5A"/>
                <w:sz w:val="17"/>
                <w:szCs w:val="17"/>
              </w:rPr>
              <w:t xml:space="preserve">EXAMPLE  ›  Opening Hook</w:t>
            </w:r>
          </w:p>
          <w:p>
            <w:pPr>
              <w:spacing w:after="50" w:before="50"/>
            </w:pPr>
            <w:r>
              <w:rPr>
                <w:rFonts w:ascii="Arial" w:cs="Arial" w:eastAsia="Arial" w:hAnsi="Arial"/>
                <w:b w:val="false"/>
                <w:bCs w:val="false"/>
                <w:i w:val="false"/>
                <w:iCs w:val="false"/>
                <w:color w:val="1A1A1A"/>
                <w:sz w:val="20"/>
                <w:szCs w:val="20"/>
              </w:rPr>
              <w:t xml:space="preserve">There is a particular silence that follows the change-of-command ceremony. The speeches are over. The flags have been passed. The people who came to witness the moment have gone back to their lives. And in that silence, the outgoing commander — or the retiring flag officer, or the senior enlisted leader walking out of the building for the last time — finds themselves standing in a space that was recently filled with decades of accumulated identity.</w:t>
            </w:r>
          </w:p>
          <w:p>
            <w:pPr>
              <w:spacing w:after="50" w:before="50"/>
            </w:pPr>
            <w:r>
              <w:rPr>
                <w:rFonts w:ascii="Arial" w:cs="Arial" w:eastAsia="Arial" w:hAnsi="Arial"/>
                <w:b w:val="false"/>
                <w:bCs w:val="false"/>
                <w:i w:val="false"/>
                <w:iCs w:val="false"/>
                <w:color w:val="1A1A1A"/>
                <w:sz w:val="20"/>
                <w:szCs w:val="20"/>
              </w:rPr>
              <w:t xml:space="preserve">Most transition resources skip this moment. They move quickly to the practical: resume formats, networking strategies, interview preparation. The Weight of What Remains does not skip it. Harmon's book begins where most transition books are afraid to — in the silence after the ceremony — and it stays there long enough to ask what the silence is actually revealing.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Opening Hook</w:t>
            </w:r>
          </w:p>
          <w:p>
            <w:pPr>
              <w:spacing w:after="0" w:before="0"/>
            </w:pPr>
            <w:r>
              <w:rPr>
                <w:rFonts w:ascii="Arial" w:cs="Arial" w:eastAsia="Arial" w:hAnsi="Arial"/>
                <w:i/>
                <w:iCs/>
                <w:color w:val="5C3A1C"/>
                <w:sz w:val="19"/>
                <w:szCs w:val="19"/>
              </w:rPr>
              <w:t xml:space="preserve">The opening begins with a specific, recognizable experience — not a generic observation about leadership, but the particular silence after a change-of-command. A reader who has been that outgoing commander recognizes this immediately. It earns their attention by seeing them before it says anything about the book. The second paragraph positions the book without overselling it — 'Harmon's book begins where most transition books are afraid to.' That's a meaningful claim, not a blurb. Notice: no author biography, no publication history, no excitement about the book's importance. The tone is measured. The voice is experienced and quiet.</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Book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C5C5A" w:sz="20"/>
              <w:bottom w:val="none" w:color="FFFFFF" w:sz="0"/>
              <w:right w:val="none" w:color="FFFFFF" w:sz="0"/>
            </w:tcBorders>
            <w:shd w:fill="EBF0F6" w:val="clear"/>
            <w:tcMar>
              <w:top w:type="dxa" w:w="100"/>
              <w:left w:type="dxa" w:w="200"/>
              <w:bottom w:type="dxa" w:w="100"/>
              <w:right w:type="dxa" w:w="200"/>
            </w:tcMar>
          </w:tcPr>
          <w:p>
            <w:pPr>
              <w:spacing w:after="60" w:before="0"/>
            </w:pPr>
            <w:r>
              <w:rPr>
                <w:rFonts w:ascii="Arial" w:cs="Arial" w:eastAsia="Arial" w:hAnsi="Arial"/>
                <w:b/>
                <w:bCs/>
                <w:color w:val="1C5C5A"/>
                <w:sz w:val="17"/>
                <w:szCs w:val="17"/>
              </w:rPr>
              <w:t xml:space="preserve">EXAMPLE  ›  Book Analysis</w:t>
            </w:r>
          </w:p>
          <w:p>
            <w:pPr>
              <w:spacing w:after="50" w:before="50"/>
            </w:pPr>
            <w:r>
              <w:rPr>
                <w:rFonts w:ascii="Arial" w:cs="Arial" w:eastAsia="Arial" w:hAnsi="Arial"/>
                <w:b w:val="false"/>
                <w:bCs w:val="false"/>
                <w:i w:val="false"/>
                <w:iCs w:val="false"/>
                <w:color w:val="1A1A1A"/>
                <w:sz w:val="20"/>
                <w:szCs w:val="20"/>
              </w:rPr>
              <w:t xml:space="preserve">Harmon's central argument is simple but not comfortable: most leaders do not know themselves as well as they believe they do, because they have spent their careers inside institutions that made self-knowledge unnecessary. The institution provided identity, purpose, belonging, and a clear framework for evaluating worth. A leader who spends twenty or thirty years inside that framework is not building a self — they are filling a role. The role and the self can become indistinguishable. The transition is when the indistinguishability becomes visible.</w:t>
            </w:r>
          </w:p>
          <w:p>
            <w:pPr>
              <w:spacing w:after="50" w:before="50"/>
            </w:pPr>
            <w:r>
              <w:rPr>
                <w:rFonts w:ascii="Arial" w:cs="Arial" w:eastAsia="Arial" w:hAnsi="Arial"/>
                <w:b w:val="false"/>
                <w:bCs w:val="false"/>
                <w:i w:val="false"/>
                <w:iCs w:val="false"/>
                <w:color w:val="1A1A1A"/>
                <w:sz w:val="20"/>
                <w:szCs w:val="20"/>
              </w:rPr>
              <w:t xml:space="preserve">To make this argument, Harmon draws on three distinct frameworks. The first is what he calls 'authority-dependent identity' — the degree to which a person's sense of self is contingent on the position they hold and the deference it commands. He distinguishes this from character-based identity, which he defines as the values and capacities a person would carry regardless of their institutional position. His research, drawn from interviews with over 200 senior leaders in transition across military, corporate, and nonprofit sectors, suggests that the gap between these two forms of identity is the primary predictor of transition difficulty.</w:t>
            </w:r>
          </w:p>
          <w:p>
            <w:pPr>
              <w:spacing w:after="50" w:before="50"/>
            </w:pPr>
            <w:r>
              <w:rPr>
                <w:rFonts w:ascii="Arial" w:cs="Arial" w:eastAsia="Arial" w:hAnsi="Arial"/>
                <w:b w:val="false"/>
                <w:bCs w:val="false"/>
                <w:i w:val="false"/>
                <w:iCs w:val="false"/>
                <w:color w:val="1A1A1A"/>
                <w:sz w:val="20"/>
                <w:szCs w:val="20"/>
              </w:rPr>
              <w:t xml:space="preserve">His second framework is what he calls 'the inventory problem' — the realization that leaders in transition often lack an accurate accounting of who they are apart from what they've done. The book's most useful contribution may be a structured process for taking that inventory honestly: not cataloging accomplishments, but mapping values, capacities, and relationships to see what has been genuinely earned and what has been borrowed from a title.</w:t>
            </w:r>
          </w:p>
          <w:p>
            <w:pPr>
              <w:spacing w:after="50" w:before="50"/>
            </w:pPr>
            <w:r>
              <w:rPr>
                <w:rFonts w:ascii="Arial" w:cs="Arial" w:eastAsia="Arial" w:hAnsi="Arial"/>
                <w:b w:val="false"/>
                <w:bCs w:val="false"/>
                <w:i w:val="false"/>
                <w:iCs w:val="false"/>
                <w:color w:val="1A1A1A"/>
                <w:sz w:val="20"/>
                <w:szCs w:val="20"/>
              </w:rPr>
              <w:t xml:space="preserve">The third framework addresses what Harmon calls 'the resistance point' — the psychological moment when a leader recognizes the work ahead and chooses either to begin it or to avoid it. His evidence suggests that avoidance at this stage is the primary driver of the identity crises that appear in the second and third years post-separation, not the transition itself.</w:t>
            </w:r>
          </w:p>
          <w:p>
            <w:pPr>
              <w:spacing w:after="50" w:before="50"/>
            </w:pPr>
            <w:r>
              <w:rPr>
                <w:rFonts w:ascii="Arial" w:cs="Arial" w:eastAsia="Arial" w:hAnsi="Arial"/>
                <w:b w:val="false"/>
                <w:bCs w:val="false"/>
                <w:i w:val="false"/>
                <w:iCs w:val="false"/>
                <w:color w:val="1A1A1A"/>
                <w:sz w:val="20"/>
                <w:szCs w:val="20"/>
              </w:rPr>
              <w:t xml:space="preserve">Harmon's methodology is interview-based qualitative research, and his strongest moments are the direct accounts of leaders at various stages of this process. Where the book is less rigorous is in its prescriptive sections — the practical tools for identity reconstruction are less carefully developed than the diagnostic work that precedes them, and some readers may find the clinical language of his frameworks creates distance rather than clarity.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Book Analysis</w:t>
            </w:r>
          </w:p>
          <w:p>
            <w:pPr>
              <w:spacing w:after="0" w:before="0"/>
            </w:pPr>
            <w:r>
              <w:rPr>
                <w:rFonts w:ascii="Arial" w:cs="Arial" w:eastAsia="Arial" w:hAnsi="Arial"/>
                <w:i/>
                <w:iCs/>
                <w:color w:val="5C3A1C"/>
                <w:sz w:val="19"/>
                <w:szCs w:val="19"/>
              </w:rPr>
              <w:t xml:space="preserve">This section covers the central argument, three key frameworks, the author's methodology, and one honest limitation — all within the 300–450 word target. Notice what it does not do: it does not say 'in Chapter 3, Harmon discusses...' There is no chapter map. It extracts and explains the ideas, not the structure. The limitation in the final paragraph is specific ('the prescriptive sections are less carefully developed') rather than vague ('some readers may find the book too dense'). Specific limitations are credible; vague ones are hedging. The analysis does not use the word 'argues' more than once — sentence structure is varied throughout.</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Leadership Transition Commentary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B3A5C" w:sz="20"/>
              <w:bottom w:val="none" w:color="FFFFFF" w:sz="0"/>
              <w:right w:val="none" w:color="FFFFFF" w:sz="0"/>
            </w:tcBorders>
            <w:shd w:fill="EBF0F6" w:val="clear"/>
            <w:tcMar>
              <w:top w:type="dxa" w:w="100"/>
              <w:left w:type="dxa" w:w="200"/>
              <w:bottom w:type="dxa" w:w="100"/>
              <w:right w:type="dxa" w:w="200"/>
            </w:tcMar>
          </w:tcPr>
          <w:p>
            <w:pPr>
              <w:spacing w:after="60" w:before="0"/>
            </w:pPr>
            <w:r>
              <w:rPr>
                <w:rFonts w:ascii="Arial" w:cs="Arial" w:eastAsia="Arial" w:hAnsi="Arial"/>
                <w:b/>
                <w:bCs/>
                <w:color w:val="1B3A5C"/>
                <w:sz w:val="17"/>
                <w:szCs w:val="17"/>
              </w:rPr>
              <w:t xml:space="preserve">EXAMPLE  ›  Leadership Transition Commentary</w:t>
            </w:r>
          </w:p>
          <w:p>
            <w:pPr>
              <w:spacing w:after="50" w:before="50"/>
            </w:pPr>
            <w:r>
              <w:rPr>
                <w:rFonts w:ascii="Arial" w:cs="Arial" w:eastAsia="Arial" w:hAnsi="Arial"/>
                <w:b w:val="false"/>
                <w:bCs w:val="false"/>
                <w:i w:val="false"/>
                <w:iCs w:val="false"/>
                <w:color w:val="1A1A1A"/>
                <w:sz w:val="20"/>
                <w:szCs w:val="20"/>
              </w:rPr>
              <w:t xml:space="preserve">What Harmon is describing — authority-dependent identity — is not a universal leadership problem. It is an intensely military one. The military builds authority-dependent identity by design. It is not a flaw in the system; it is the system. Rank communicates everything: where you stand, what decisions are yours, how others will engage with you, what you are responsible for. A leader who spends two or three decades in that environment has been shaped by it in ways they may not fully see until the environment is gone.</w:t>
            </w:r>
          </w:p>
          <w:p>
            <w:pPr>
              <w:spacing w:after="50" w:before="50"/>
            </w:pPr>
            <w:r>
              <w:rPr>
                <w:rFonts w:ascii="Arial" w:cs="Arial" w:eastAsia="Arial" w:hAnsi="Arial"/>
                <w:b w:val="false"/>
                <w:bCs w:val="false"/>
                <w:i w:val="false"/>
                <w:iCs w:val="false"/>
                <w:color w:val="1A1A1A"/>
                <w:sz w:val="20"/>
                <w:szCs w:val="20"/>
              </w:rPr>
              <w:t xml:space="preserve">The inventory problem, in the military context, is particularly acute for leaders who succeeded early and consistently. When the system rewards you reliably — promotions at the expected pace, assignments that build the right profile, recognition that confirms your direction — there is little incentive to develop the kind of self-knowledge that only comes from genuine uncertainty. The military's high-performing leaders are often the ones who have never had to locate themselves outside the institution, because the institution has always been there to locate them.</w:t>
            </w:r>
          </w:p>
          <w:p>
            <w:pPr>
              <w:spacing w:after="50" w:before="50"/>
            </w:pPr>
            <w:r>
              <w:rPr>
                <w:rFonts w:ascii="Arial" w:cs="Arial" w:eastAsia="Arial" w:hAnsi="Arial"/>
                <w:b w:val="false"/>
                <w:bCs w:val="false"/>
                <w:i w:val="false"/>
                <w:iCs w:val="false"/>
                <w:color w:val="1A1A1A"/>
                <w:sz w:val="20"/>
                <w:szCs w:val="20"/>
              </w:rPr>
              <w:t xml:space="preserve">This is why the silence after the ceremony is not simply grief, though it is that too. It is the first unmediated encounter with the question the institution was quietly answering all along: who are you, apart from this?</w:t>
            </w:r>
          </w:p>
          <w:p>
            <w:pPr>
              <w:spacing w:after="50" w:before="50"/>
            </w:pPr>
            <w:r>
              <w:rPr>
                <w:rFonts w:ascii="Arial" w:cs="Arial" w:eastAsia="Arial" w:hAnsi="Arial"/>
                <w:b w:val="false"/>
                <w:bCs w:val="false"/>
                <w:i w:val="false"/>
                <w:iCs w:val="false"/>
                <w:color w:val="1A1A1A"/>
                <w:sz w:val="20"/>
                <w:szCs w:val="20"/>
              </w:rPr>
              <w:t xml:space="preserve">Harmon's resistance point framework deserves particular attention here. The leaders who struggle most in the second and third years post-separation are often not the ones who lacked preparation — they had transition assistance, networking support, second career plans. They are the ones who chose, at the resistance point, to address the practical aspects of transition while leaving the identity questions for later. Later, in Harmon's observation and in the pattern that is visible from any honest look at veteran career data, tends to become never.</w:t>
            </w:r>
          </w:p>
          <w:p>
            <w:pPr>
              <w:spacing w:after="50" w:before="50"/>
            </w:pPr>
            <w:r>
              <w:rPr>
                <w:rFonts w:ascii="Arial" w:cs="Arial" w:eastAsia="Arial" w:hAnsi="Arial"/>
                <w:b w:val="false"/>
                <w:bCs w:val="false"/>
                <w:i w:val="false"/>
                <w:iCs w:val="false"/>
                <w:color w:val="1A1A1A"/>
                <w:sz w:val="20"/>
                <w:szCs w:val="20"/>
              </w:rPr>
              <w:t xml:space="preserve">The harder truth this book offers is not that transition is difficult — most leaders expect difficulty and are prepared to work through it. The harder truth is that the work of transition is not primarily practical. Resumes and networks and interviews are real requirements, and they matter. But they are downstream of a question that has to be answered first: who is doing this work, and do they know enough about themselves to do it well?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Leadership Transition Commentary</w:t>
            </w:r>
          </w:p>
          <w:p>
            <w:pPr>
              <w:spacing w:after="0" w:before="0"/>
            </w:pPr>
            <w:r>
              <w:rPr>
                <w:rFonts w:ascii="Arial" w:cs="Arial" w:eastAsia="Arial" w:hAnsi="Arial"/>
                <w:i/>
                <w:iCs/>
                <w:color w:val="5C3A1C"/>
                <w:sz w:val="19"/>
                <w:szCs w:val="19"/>
              </w:rPr>
              <w:t xml:space="preserve">This section is the platform's voice at full extension. Notice several things. First: the opening paragraph makes a claim that is specific to military service ('authority-dependent identity is not a universal leadership problem — it is an intensely military one'). That military-specific lens is what the reader is here for. Second: the commentary doesn't simply restate Harmon's frameworks — it applies them. The 'inventory problem' paragraph adds something Harmon's research can't: the observation about high-performing leaders who never developed self-knowledge because the system rewarded them without requiring it. Third: the section acknowledges difficulty honestly without catastrophizing. The last paragraph does not say 'transition is impossible without this book.' It says the practical work is downstream of the identity work. That is an honest, measured claim. No motivational language anywhere. The tone throughout is experienced, direct, and respectful of the reader's intelligence.</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Practical Applications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E5F3E" w:sz="20"/>
              <w:bottom w:val="none" w:color="FFFFFF" w:sz="0"/>
              <w:right w:val="none" w:color="FFFFFF" w:sz="0"/>
            </w:tcBorders>
            <w:shd w:fill="EBF5EE" w:val="clear"/>
            <w:tcMar>
              <w:top w:type="dxa" w:w="100"/>
              <w:left w:type="dxa" w:w="200"/>
              <w:bottom w:type="dxa" w:w="100"/>
              <w:right w:type="dxa" w:w="200"/>
            </w:tcMar>
          </w:tcPr>
          <w:p>
            <w:pPr>
              <w:spacing w:after="60" w:before="0"/>
            </w:pPr>
            <w:r>
              <w:rPr>
                <w:rFonts w:ascii="Arial" w:cs="Arial" w:eastAsia="Arial" w:hAnsi="Arial"/>
                <w:b/>
                <w:bCs/>
                <w:color w:val="2E5F3E"/>
                <w:sz w:val="17"/>
                <w:szCs w:val="17"/>
              </w:rPr>
              <w:t xml:space="preserve">EXAMPLE  ›  Practical Applications</w:t>
            </w:r>
          </w:p>
          <w:p>
            <w:pPr>
              <w:spacing w:after="50" w:before="30"/>
            </w:pPr>
            <w:r>
              <w:rPr>
                <w:rFonts w:ascii="Arial" w:cs="Arial" w:eastAsia="Arial" w:hAnsi="Arial"/>
                <w:b/>
                <w:bCs/>
                <w:color w:val="1B3A5C"/>
                <w:sz w:val="19"/>
                <w:szCs w:val="19"/>
              </w:rPr>
              <w:t xml:space="preserve">Applying Harmon's frameworks to the transition experience:</w:t>
            </w:r>
          </w:p>
          <w:p>
            <w:pPr>
              <w:spacing w:after="30" w:before="30"/>
              <w:ind w:left="240"/>
            </w:pPr>
            <w:r>
              <w:rPr>
                <w:rFonts w:ascii="Arial" w:cs="Arial" w:eastAsia="Arial" w:hAnsi="Arial"/>
                <w:b/>
                <w:bCs/>
                <w:color w:val="1B3A5C"/>
                <w:sz w:val="19"/>
                <w:szCs w:val="19"/>
              </w:rPr>
              <w:t xml:space="preserve">1.  Take Harmon's inventory before you need it. </w:t>
            </w:r>
            <w:r>
              <w:rPr>
                <w:rFonts w:ascii="Arial" w:cs="Arial" w:eastAsia="Arial" w:hAnsi="Arial"/>
                <w:color w:val="1A1A1A"/>
                <w:sz w:val="19"/>
                <w:szCs w:val="19"/>
              </w:rPr>
              <w:t xml:space="preserve">Identify five values you would hold regardless of your rank or title. Then identify five capabilities you've developed that would be valuable in any organization. If you struggle with either list, that struggle is information.</w:t>
            </w:r>
          </w:p>
          <w:p>
            <w:pPr>
              <w:spacing w:after="30" w:before="30"/>
              <w:ind w:left="240"/>
            </w:pPr>
            <w:r>
              <w:rPr>
                <w:rFonts w:ascii="Arial" w:cs="Arial" w:eastAsia="Arial" w:hAnsi="Arial"/>
                <w:b/>
                <w:bCs/>
                <w:color w:val="1B3A5C"/>
                <w:sz w:val="19"/>
                <w:szCs w:val="19"/>
              </w:rPr>
              <w:t xml:space="preserve">2.  Map your authority dependencies honestly. </w:t>
            </w:r>
            <w:r>
              <w:rPr>
                <w:rFonts w:ascii="Arial" w:cs="Arial" w:eastAsia="Arial" w:hAnsi="Arial"/>
                <w:color w:val="1A1A1A"/>
                <w:sz w:val="19"/>
                <w:szCs w:val="19"/>
              </w:rPr>
              <w:t xml:space="preserve">For each major relationship in your professional life, ask: is this relationship built on who I am, or on the position I hold? The answer tells you what your network looks like from the outside of the institution.</w:t>
            </w:r>
          </w:p>
          <w:p>
            <w:pPr>
              <w:spacing w:after="30" w:before="30"/>
              <w:ind w:left="240"/>
            </w:pPr>
            <w:r>
              <w:rPr>
                <w:rFonts w:ascii="Arial" w:cs="Arial" w:eastAsia="Arial" w:hAnsi="Arial"/>
                <w:b/>
                <w:bCs/>
                <w:color w:val="1B3A5C"/>
                <w:sz w:val="19"/>
                <w:szCs w:val="19"/>
              </w:rPr>
              <w:t xml:space="preserve">3.  Identify your resistance point before you reach it. </w:t>
            </w:r>
            <w:r>
              <w:rPr>
                <w:rFonts w:ascii="Arial" w:cs="Arial" w:eastAsia="Arial" w:hAnsi="Arial"/>
                <w:color w:val="1A1A1A"/>
                <w:sz w:val="19"/>
                <w:szCs w:val="19"/>
              </w:rPr>
              <w:t xml:space="preserve">Harmon's research suggests leaders can anticipate the moment when they'll be tempted to substitute activity for identity work. Know your avoidance patterns in advance — the over-commitment to consulting work, the constant busyness that prevents reflection — and build in the time the identity work requires.</w:t>
            </w:r>
          </w:p>
          <w:p>
            <w:pPr>
              <w:spacing w:after="30" w:before="30"/>
              <w:ind w:left="240"/>
            </w:pPr>
            <w:r>
              <w:rPr>
                <w:rFonts w:ascii="Arial" w:cs="Arial" w:eastAsia="Arial" w:hAnsi="Arial"/>
                <w:b/>
                <w:bCs/>
                <w:color w:val="1B3A5C"/>
                <w:sz w:val="19"/>
                <w:szCs w:val="19"/>
              </w:rPr>
              <w:t xml:space="preserve">4.  Use the silence. </w:t>
            </w:r>
            <w:r>
              <w:rPr>
                <w:rFonts w:ascii="Arial" w:cs="Arial" w:eastAsia="Arial" w:hAnsi="Arial"/>
                <w:color w:val="1A1A1A"/>
                <w:sz w:val="19"/>
                <w:szCs w:val="19"/>
              </w:rPr>
              <w:t xml:space="preserve">In the first thirty days after separation, resist the pressure to immediately fill the space with activity. The discomfort of that space is where the most productive identity work happens. Thirty days of deliberate reflection is worth more than six months of networking done before you know what you're networking toward.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Practical Applications</w:t>
            </w:r>
          </w:p>
          <w:p>
            <w:pPr>
              <w:spacing w:after="0" w:before="0"/>
            </w:pPr>
            <w:r>
              <w:rPr>
                <w:rFonts w:ascii="Arial" w:cs="Arial" w:eastAsia="Arial" w:hAnsi="Arial"/>
                <w:i/>
                <w:iCs/>
                <w:color w:val="5C3A1C"/>
                <w:sz w:val="19"/>
                <w:szCs w:val="19"/>
              </w:rPr>
              <w:t xml:space="preserve">Each application begins with an action verb or direct imperative ('Take,' 'Map,' 'Identify,' 'Use'). None begin with 'Consider' or 'Think about.' Each is specific enough to act on. Notice that application 4 ('Use the silence') is drawn from the entry's own opening image — it closes a loop that began in the hook. This kind of internal coherence is a quality marker. Application 2 ('Map your authority dependencies') gives the reader a specific process: for each major relationship, ask a specific question. That is the level of specificity this section requires.</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Reflection Questions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4A2E5C" w:sz="20"/>
              <w:bottom w:val="none" w:color="FFFFFF" w:sz="0"/>
              <w:right w:val="none" w:color="FFFFFF" w:sz="0"/>
            </w:tcBorders>
            <w:shd w:fill="F2EBF8" w:val="clear"/>
            <w:tcMar>
              <w:top w:type="dxa" w:w="100"/>
              <w:left w:type="dxa" w:w="200"/>
              <w:bottom w:type="dxa" w:w="100"/>
              <w:right w:type="dxa" w:w="200"/>
            </w:tcMar>
          </w:tcPr>
          <w:p>
            <w:pPr>
              <w:spacing w:after="60" w:before="0"/>
            </w:pPr>
            <w:r>
              <w:rPr>
                <w:rFonts w:ascii="Arial" w:cs="Arial" w:eastAsia="Arial" w:hAnsi="Arial"/>
                <w:b/>
                <w:bCs/>
                <w:color w:val="4A2E5C"/>
                <w:sz w:val="17"/>
                <w:szCs w:val="17"/>
              </w:rPr>
              <w:t xml:space="preserve">EXAMPLE  ›  Reflection Questions</w:t>
            </w:r>
          </w:p>
          <w:p>
            <w:pPr>
              <w:spacing w:after="50" w:before="30"/>
            </w:pPr>
            <w:r>
              <w:rPr>
                <w:rFonts w:ascii="Arial" w:cs="Arial" w:eastAsia="Arial" w:hAnsi="Arial"/>
                <w:b/>
                <w:bCs/>
                <w:color w:val="4A2E5C"/>
                <w:sz w:val="19"/>
                <w:szCs w:val="19"/>
              </w:rPr>
              <w:t xml:space="preserve">For personal reflection:</w:t>
            </w:r>
          </w:p>
          <w:p>
            <w:pPr>
              <w:spacing w:after="40" w:before="20"/>
              <w:ind w:left="240"/>
            </w:pPr>
            <w:r>
              <w:rPr>
                <w:rFonts w:ascii="Arial" w:cs="Arial" w:eastAsia="Arial" w:hAnsi="Arial"/>
                <w:b/>
                <w:bCs/>
                <w:color w:val="4A2E5C"/>
                <w:sz w:val="19"/>
                <w:szCs w:val="19"/>
              </w:rPr>
              <w:t xml:space="preserve">1.  </w:t>
            </w:r>
            <w:r>
              <w:rPr>
                <w:rFonts w:ascii="Arial" w:cs="Arial" w:eastAsia="Arial" w:hAnsi="Arial"/>
                <w:color w:val="1A1A1A"/>
                <w:sz w:val="19"/>
                <w:szCs w:val="19"/>
              </w:rPr>
              <w:t xml:space="preserve">If you were to list the five things most central to how you understand yourself as a leader, how many of them would survive the removal of your current rank or title? What does your answer tell you about the identity work ahead?</w:t>
            </w:r>
          </w:p>
          <w:p>
            <w:pPr>
              <w:spacing w:after="40" w:before="20"/>
              <w:ind w:left="240"/>
            </w:pPr>
            <w:r>
              <w:rPr>
                <w:rFonts w:ascii="Arial" w:cs="Arial" w:eastAsia="Arial" w:hAnsi="Arial"/>
                <w:b/>
                <w:bCs/>
                <w:color w:val="4A2E5C"/>
                <w:sz w:val="19"/>
                <w:szCs w:val="19"/>
              </w:rPr>
              <w:t xml:space="preserve">2.  </w:t>
            </w:r>
            <w:r>
              <w:rPr>
                <w:rFonts w:ascii="Arial" w:cs="Arial" w:eastAsia="Arial" w:hAnsi="Arial"/>
                <w:color w:val="1A1A1A"/>
                <w:sz w:val="19"/>
                <w:szCs w:val="19"/>
              </w:rPr>
              <w:t xml:space="preserve">Harmon describes a 'resistance point' — the moment when leaders choose whether to begin the hard work of identity reconstruction or avoid it through activity. Looking at your own patterns, what form does your avoidance tend to take, and what would it mean to recognize it as avoidance rather than productivity?</w:t>
            </w:r>
          </w:p>
          <w:p>
            <w:pPr>
              <w:spacing w:after="40" w:before="20"/>
              <w:ind w:left="240"/>
            </w:pPr>
            <w:r>
              <w:rPr>
                <w:rFonts w:ascii="Arial" w:cs="Arial" w:eastAsia="Arial" w:hAnsi="Arial"/>
                <w:b/>
                <w:bCs/>
                <w:color w:val="4A2E5C"/>
                <w:sz w:val="19"/>
                <w:szCs w:val="19"/>
              </w:rPr>
              <w:t xml:space="preserve">3.  </w:t>
            </w:r>
            <w:r>
              <w:rPr>
                <w:rFonts w:ascii="Arial" w:cs="Arial" w:eastAsia="Arial" w:hAnsi="Arial"/>
                <w:color w:val="1A1A1A"/>
                <w:sz w:val="19"/>
                <w:szCs w:val="19"/>
              </w:rPr>
              <w:t xml:space="preserve">The institution provided your framework for measuring worth for decades. What framework do you want to replace it with — not the one you'll adopt out of convenience, but the one that would reflect what you actually value in the next chapter of your life?</w:t>
            </w:r>
          </w:p>
          <w:p>
            <w:pPr>
              <w:spacing w:after="30" w:before="20"/>
              <w:ind w:left="240"/>
            </w:pPr>
            <w:r>
              <w:rPr>
                <w:rFonts w:ascii="Arial" w:cs="Arial" w:eastAsia="Arial" w:hAnsi="Arial"/>
                <w:b/>
                <w:bCs/>
                <w:color w:val="4A2E5C"/>
                <w:sz w:val="19"/>
                <w:szCs w:val="19"/>
              </w:rPr>
              <w:t xml:space="preserve">4.  </w:t>
            </w:r>
            <w:r>
              <w:rPr>
                <w:rFonts w:ascii="Arial" w:cs="Arial" w:eastAsia="Arial" w:hAnsi="Arial"/>
                <w:color w:val="1A1A1A"/>
                <w:sz w:val="19"/>
                <w:szCs w:val="19"/>
              </w:rPr>
              <w:t xml:space="preserve">Who in your current or recent professional life knows you as a person rather than as a position? What does the size of that group tell you, and what, if anything, do you want to do about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Reflection Questions</w:t>
            </w:r>
          </w:p>
          <w:p>
            <w:pPr>
              <w:spacing w:after="0" w:before="0"/>
            </w:pPr>
            <w:r>
              <w:rPr>
                <w:rFonts w:ascii="Arial" w:cs="Arial" w:eastAsia="Arial" w:hAnsi="Arial"/>
                <w:i/>
                <w:iCs/>
                <w:color w:val="5C3A1C"/>
                <w:sz w:val="19"/>
                <w:szCs w:val="19"/>
              </w:rPr>
              <w:t xml:space="preserve">Each question covers one of the four required categories. Question 1: leadership identity. Question 2: transition experience (the avoidance pattern). Question 3: purpose and the next chapter. Question 4: book-specific application (the authority-dependency inventory, made personal). None are comprehension questions. None begin with 'What does the author mean...' None presuppose a specific transition stage — all four could be answered whether the reader is still active, separating, or already out. Notice question 1 ends with 'what does your answer tell you?' — the question is not asked just to prompt reflection, but to give the reflection a productive direction.</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Cross-Book Wisdom Connections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3A1C" w:sz="20"/>
              <w:bottom w:val="none" w:color="FFFFFF" w:sz="0"/>
              <w:right w:val="none" w:color="FFFFFF" w:sz="0"/>
            </w:tcBorders>
            <w:shd w:fill="FDF0EB" w:val="clear"/>
            <w:tcMar>
              <w:top w:type="dxa" w:w="100"/>
              <w:left w:type="dxa" w:w="200"/>
              <w:bottom w:type="dxa" w:w="100"/>
              <w:right w:type="dxa" w:w="200"/>
            </w:tcMar>
          </w:tcPr>
          <w:p>
            <w:pPr>
              <w:spacing w:after="60" w:before="0"/>
            </w:pPr>
            <w:r>
              <w:rPr>
                <w:rFonts w:ascii="Arial" w:cs="Arial" w:eastAsia="Arial" w:hAnsi="Arial"/>
                <w:b/>
                <w:bCs/>
                <w:color w:val="8B3A1C"/>
                <w:sz w:val="17"/>
                <w:szCs w:val="17"/>
              </w:rPr>
              <w:t xml:space="preserve">EXAMPLE  ›  Cross-Book Wisdom Connections</w:t>
            </w:r>
          </w:p>
          <w:p>
            <w:pPr>
              <w:spacing w:after="50" w:before="50"/>
            </w:pPr>
            <w:r>
              <w:rPr>
                <w:rFonts w:ascii="Arial" w:cs="Arial" w:eastAsia="Arial" w:hAnsi="Arial"/>
                <w:b/>
                <w:bCs/>
                <w:i w:val="false"/>
                <w:iCs w:val="false"/>
                <w:color w:val="8B3A1C"/>
                <w:sz w:val="20"/>
                <w:szCs w:val="20"/>
              </w:rPr>
              <w:t xml:space="preserve">This book is in conversation with several others in the library on the question of where identity lives and what happens when its external supports are removed.</w:t>
            </w:r>
          </w:p>
          <w:p>
            <w:pPr>
              <w:spacing w:after="50" w:before="50"/>
            </w:pPr>
            <w:r>
              <w:rPr>
                <w:rFonts w:ascii="Arial" w:cs="Arial" w:eastAsia="Arial" w:hAnsi="Arial"/>
                <w:b w:val="false"/>
                <w:bCs w:val="false"/>
                <w:i w:val="false"/>
                <w:iCs w:val="false"/>
                <w:color w:val="1A1A1A"/>
                <w:sz w:val="20"/>
                <w:szCs w:val="20"/>
              </w:rPr>
              <w:t xml:space="preserve">The relationship between authority-dependent identity and the ego — the self that borrows its importance from position and title — is the same relationship Holiday examines in Ego Is the Enemy. Where Harmon approaches it through research and interview, Holiday approaches it through Stoic philosophy and historical example. The convergence is worth noting: two very different methodologies arrive at the same essential finding. The self that is built on external validation is the self that collapses when the validation disappears. Both books argue that the work of building something more durable must begin before the crisis, not after it.</w:t>
            </w:r>
          </w:p>
          <w:p>
            <w:pPr>
              <w:spacing w:after="50" w:before="50"/>
            </w:pPr>
            <w:r>
              <w:rPr>
                <w:rFonts w:ascii="Arial" w:cs="Arial" w:eastAsia="Arial" w:hAnsi="Arial"/>
                <w:b w:val="false"/>
                <w:bCs w:val="false"/>
                <w:i w:val="false"/>
                <w:iCs w:val="false"/>
                <w:color w:val="1A1A1A"/>
                <w:sz w:val="20"/>
                <w:szCs w:val="20"/>
              </w:rPr>
              <w:t xml:space="preserve">The Arbinger Institute, in Leadership and Self-Deception, identifies a similar mechanism — the way leaders build a narrative about themselves that protects them from accurate self-examination. What Arbinger calls 'being in the box' and what Harmon calls 'authority-dependent identity' are different vocabularies for the same underlying pattern: the use of institutional position to avoid genuine self-knowledge. Together, these two books form the most rigorous diagnostic pair in the library for understanding why accomplished leaders sometimes fail in transition despite their obvious competence.</w:t>
            </w:r>
          </w:p>
          <w:p>
            <w:pPr>
              <w:spacing w:after="50" w:before="50"/>
            </w:pPr>
            <w:r>
              <w:rPr>
                <w:rFonts w:ascii="Arial" w:cs="Arial" w:eastAsia="Arial" w:hAnsi="Arial"/>
                <w:b w:val="false"/>
                <w:bCs w:val="false"/>
                <w:i w:val="false"/>
                <w:iCs w:val="false"/>
                <w:color w:val="1A1A1A"/>
                <w:sz w:val="20"/>
                <w:szCs w:val="20"/>
              </w:rPr>
              <w:t xml:space="preserve">Marcus Aurelius, writing in circumstances of almost incomprehensible external power, arrives at the same question from the opposite direction. He held the highest position the Roman world offered and spent his private journals — the Meditations — reminding himself, repeatedly, that the position was not the man. His concern was not transition but the continuous practice of keeping character separate from circumstance. What Harmon calls a crisis at the point of separation, Aurelius treats as a daily discipline. The implication for the military leader is not subtle: the work Harmon describes as post-transition recovery is the work Aurelius describes as pre-transition preparation.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Cross-Book Wisdom Connections</w:t>
            </w:r>
          </w:p>
          <w:p>
            <w:pPr>
              <w:spacing w:after="0" w:before="0"/>
            </w:pPr>
            <w:r>
              <w:rPr>
                <w:rFonts w:ascii="Arial" w:cs="Arial" w:eastAsia="Arial" w:hAnsi="Arial"/>
                <w:i/>
                <w:iCs/>
                <w:color w:val="5C3A1C"/>
                <w:sz w:val="19"/>
                <w:szCs w:val="19"/>
              </w:rPr>
              <w:t xml:space="preserve">Three connections are made — appropriate for a Foundational Canon book at the lower end (which would require four; this example shows three for a fictional mid-tier book). Notice what each connection does. Connection 1 (Ego Is the Enemy): names the specific converging idea (authority-dependent identity = ego as borrowed identity), explains what each book contributes differently (research vs. Stoic philosophy), and draws an observation about why the convergence matters. Connection 2 (Leadership and Self-Deception): maps the specific terminology ('in the box' = authority-dependent identity), explains the mechanism, and tells the reader what the two books do together (form a diagnostic pair). Connection 3 (Meditations): crosses era and genre, makes a genuinely new observation (Aurelius treats as daily discipline what Harmon treats as post-transition recovery), and draws a practical implication. Each connection is substantive — none simply say 'this book also covers identity.'</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Closing Reflection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20"/>
              <w:bottom w:val="none" w:color="FFFFFF" w:sz="0"/>
              <w:right w:val="none" w:color="FFFFFF" w:sz="0"/>
            </w:tcBorders>
            <w:shd w:fill="FDF6E3" w:val="clear"/>
            <w:tcMar>
              <w:top w:type="dxa" w:w="100"/>
              <w:left w:type="dxa" w:w="200"/>
              <w:bottom w:type="dxa" w:w="100"/>
              <w:right w:type="dxa" w:w="200"/>
            </w:tcMar>
          </w:tcPr>
          <w:p>
            <w:pPr>
              <w:spacing w:after="60" w:before="0"/>
            </w:pPr>
            <w:r>
              <w:rPr>
                <w:rFonts w:ascii="Arial" w:cs="Arial" w:eastAsia="Arial" w:hAnsi="Arial"/>
                <w:b/>
                <w:bCs/>
                <w:color w:val="8B6914"/>
                <w:sz w:val="17"/>
                <w:szCs w:val="17"/>
              </w:rPr>
              <w:t xml:space="preserve">EXAMPLE  ›  Closing Reflection</w:t>
            </w:r>
          </w:p>
          <w:p>
            <w:pPr>
              <w:spacing w:after="50" w:before="50"/>
            </w:pPr>
            <w:r>
              <w:rPr>
                <w:rFonts w:ascii="Arial" w:cs="Arial" w:eastAsia="Arial" w:hAnsi="Arial"/>
                <w:b w:val="false"/>
                <w:bCs w:val="false"/>
                <w:i w:val="false"/>
                <w:iCs w:val="false"/>
                <w:color w:val="1A1A1A"/>
                <w:sz w:val="20"/>
                <w:szCs w:val="20"/>
              </w:rPr>
              <w:t xml:space="preserve">What Harmon gives the transition reader is not a solution. It is an honest account of what the terrain actually looks like — which is more valuable than a solution, because you can navigate terrain you understand even when the path isn't clear.</w:t>
            </w:r>
          </w:p>
          <w:p>
            <w:pPr>
              <w:spacing w:after="50" w:before="50"/>
            </w:pPr>
            <w:r>
              <w:rPr>
                <w:rFonts w:ascii="Arial" w:cs="Arial" w:eastAsia="Arial" w:hAnsi="Arial"/>
                <w:b w:val="false"/>
                <w:bCs w:val="false"/>
                <w:i w:val="false"/>
                <w:iCs w:val="false"/>
                <w:color w:val="1A1A1A"/>
                <w:sz w:val="20"/>
                <w:szCs w:val="20"/>
              </w:rPr>
              <w:t xml:space="preserve">The identity work he describes is not completed in a book or a course or a conversation with a transition counselor. It is completed in the accumulation of decisions made over months and years about what you will let define you now that the institution no longer does that work for you. Some of those decisions will be made well. Some will require revision. That is not a failure of the process — it is the process.</w:t>
            </w:r>
          </w:p>
          <w:p>
            <w:pPr>
              <w:spacing w:after="50" w:before="50"/>
            </w:pPr>
            <w:r>
              <w:rPr>
                <w:rFonts w:ascii="Arial" w:cs="Arial" w:eastAsia="Arial" w:hAnsi="Arial"/>
                <w:b w:val="false"/>
                <w:bCs w:val="false"/>
                <w:i w:val="false"/>
                <w:iCs w:val="false"/>
                <w:color w:val="1A1A1A"/>
                <w:sz w:val="20"/>
                <w:szCs w:val="20"/>
              </w:rPr>
              <w:t xml:space="preserve">What this book asks, and what the silence after the ceremony asks, is worth the time it takes to answer well. Not perfectly. Well.</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Closing Reflection</w:t>
            </w:r>
          </w:p>
          <w:p>
            <w:pPr>
              <w:spacing w:after="0" w:before="0"/>
            </w:pPr>
            <w:r>
              <w:rPr>
                <w:rFonts w:ascii="Arial" w:cs="Arial" w:eastAsia="Arial" w:hAnsi="Arial"/>
                <w:i/>
                <w:iCs/>
                <w:color w:val="5C3A1C"/>
                <w:sz w:val="19"/>
                <w:szCs w:val="19"/>
              </w:rPr>
              <w:t xml:space="preserve">This closing delivers all four required elements without announcing them. Perspective: the first paragraph reframes the book's value — it's not a solution but an honest account of the terrain. Practical wisdom: the second paragraph offers a concrete, applicable truth — identity work is completed through accumulated decisions over time, not in a single moment. Hope: the acknowledgment that 'some decisions will require revision — that is not a failure, it is the process' is genuine hope, grounded in reality, not optimism. Humility: the final sentence. 'Not perfectly. Well.' The platform never promises transformation. It offers something more honest: useful guidance from someone who has been here. Notice: no summary, no list of takeaways, no call to action, no exclamation, no mention of the book's title in the closing. The reader leaves thinking about their own journey, not about the book.</w:t>
            </w:r>
          </w:p>
        </w:tc>
      </w:tr>
    </w:tbl>
    <w:p>
      <w:pPr>
        <w:spacing w:after="0" w:before="80"/>
      </w:pPr>
    </w:p>
    <w:p>
      <w:pPr>
        <w:pStyle w:val="Heading2"/>
        <w:spacing w:after="120" w:before="280"/>
      </w:pPr>
      <w:r>
        <w:rPr>
          <w:rFonts w:ascii="Arial" w:cs="Arial" w:eastAsia="Arial" w:hAnsi="Arial"/>
          <w:b/>
          <w:bCs/>
          <w:color w:val="1B3A5C"/>
          <w:sz w:val="27"/>
          <w:szCs w:val="27"/>
        </w:rPr>
        <w:t xml:space="preserve">Annotated Example — Related Books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3A4A5C" w:sz="20"/>
              <w:bottom w:val="none" w:color="FFFFFF" w:sz="0"/>
              <w:right w:val="none" w:color="FFFFFF" w:sz="0"/>
            </w:tcBorders>
            <w:shd w:fill="EBF0F6" w:val="clear"/>
            <w:tcMar>
              <w:top w:type="dxa" w:w="100"/>
              <w:left w:type="dxa" w:w="200"/>
              <w:bottom w:type="dxa" w:w="100"/>
              <w:right w:type="dxa" w:w="200"/>
            </w:tcMar>
          </w:tcPr>
          <w:p>
            <w:pPr>
              <w:spacing w:after="60" w:before="0"/>
            </w:pPr>
            <w:r>
              <w:rPr>
                <w:rFonts w:ascii="Arial" w:cs="Arial" w:eastAsia="Arial" w:hAnsi="Arial"/>
                <w:b/>
                <w:bCs/>
                <w:color w:val="3A4A5C"/>
                <w:sz w:val="17"/>
                <w:szCs w:val="17"/>
              </w:rPr>
              <w:t xml:space="preserve">EXAMPLE  ›  Related Books</w:t>
            </w:r>
          </w:p>
          <w:p>
            <w:pPr>
              <w:spacing w:after="40" w:before="20"/>
              <w:ind w:left="200"/>
            </w:pPr>
            <w:r>
              <w:rPr>
                <w:rFonts w:ascii="Arial" w:cs="Arial" w:eastAsia="Arial" w:hAnsi="Arial"/>
                <w:b/>
                <w:bCs/>
                <w:color w:val="1B3A5C"/>
                <w:sz w:val="19"/>
                <w:szCs w:val="19"/>
              </w:rPr>
              <w:t xml:space="preserve">Ego Is the Enemy</w:t>
            </w:r>
            <w:r>
              <w:rPr>
                <w:rFonts w:ascii="Arial" w:cs="Arial" w:eastAsia="Arial" w:hAnsi="Arial"/>
                <w:i/>
                <w:iCs/>
                <w:color w:val="444444"/>
                <w:sz w:val="19"/>
                <w:szCs w:val="19"/>
              </w:rPr>
              <w:t xml:space="preserve"> — Ryan Holiday</w:t>
            </w:r>
            <w:r>
              <w:rPr>
                <w:rFonts w:ascii="Arial" w:cs="Arial" w:eastAsia="Arial" w:hAnsi="Arial"/>
                <w:color w:val="1A1A1A"/>
                <w:sz w:val="18"/>
                <w:szCs w:val="18"/>
              </w:rPr>
              <w:t xml:space="preserve">   The Stoic case for separating identity from achievement — Harmon's authority-dependent identity, examined through a two-thousand-year lens.</w:t>
            </w:r>
          </w:p>
          <w:p>
            <w:pPr>
              <w:spacing w:after="40" w:before="20"/>
              <w:ind w:left="200"/>
            </w:pPr>
            <w:r>
              <w:rPr>
                <w:rFonts w:ascii="Arial" w:cs="Arial" w:eastAsia="Arial" w:hAnsi="Arial"/>
                <w:b/>
                <w:bCs/>
                <w:color w:val="1B3A5C"/>
                <w:sz w:val="19"/>
                <w:szCs w:val="19"/>
              </w:rPr>
              <w:t xml:space="preserve">Leadership and Self-Deception</w:t>
            </w:r>
            <w:r>
              <w:rPr>
                <w:rFonts w:ascii="Arial" w:cs="Arial" w:eastAsia="Arial" w:hAnsi="Arial"/>
                <w:i/>
                <w:iCs/>
                <w:color w:val="444444"/>
                <w:sz w:val="19"/>
                <w:szCs w:val="19"/>
              </w:rPr>
              <w:t xml:space="preserve"> — The Arbinger Institute</w:t>
            </w:r>
            <w:r>
              <w:rPr>
                <w:rFonts w:ascii="Arial" w:cs="Arial" w:eastAsia="Arial" w:hAnsi="Arial"/>
                <w:color w:val="1A1A1A"/>
                <w:sz w:val="18"/>
                <w:szCs w:val="18"/>
              </w:rPr>
              <w:t xml:space="preserve">   The diagnostic companion to this entry — where Harmon identifies the problem, Arbinger explains the mechanism that keeps it in place.</w:t>
            </w:r>
          </w:p>
          <w:p>
            <w:pPr>
              <w:spacing w:after="40" w:before="20"/>
              <w:ind w:left="200"/>
            </w:pPr>
            <w:r>
              <w:rPr>
                <w:rFonts w:ascii="Arial" w:cs="Arial" w:eastAsia="Arial" w:hAnsi="Arial"/>
                <w:b/>
                <w:bCs/>
                <w:color w:val="1B3A5C"/>
                <w:sz w:val="19"/>
                <w:szCs w:val="19"/>
              </w:rPr>
              <w:t xml:space="preserve">Man's Search for Meaning</w:t>
            </w:r>
            <w:r>
              <w:rPr>
                <w:rFonts w:ascii="Arial" w:cs="Arial" w:eastAsia="Arial" w:hAnsi="Arial"/>
                <w:i/>
                <w:iCs/>
                <w:color w:val="444444"/>
                <w:sz w:val="19"/>
                <w:szCs w:val="19"/>
              </w:rPr>
              <w:t xml:space="preserve"> — Viktor Frankl</w:t>
            </w:r>
            <w:r>
              <w:rPr>
                <w:rFonts w:ascii="Arial" w:cs="Arial" w:eastAsia="Arial" w:hAnsi="Arial"/>
                <w:color w:val="1A1A1A"/>
                <w:sz w:val="18"/>
                <w:szCs w:val="18"/>
              </w:rPr>
              <w:t xml:space="preserve">   The philosophical foundation for rebuilding identity from the inside out — what Harmon diagnoses, Frankl provides the framework to address.</w:t>
            </w:r>
          </w:p>
          <w:p>
            <w:pPr>
              <w:spacing w:after="30" w:before="20"/>
              <w:ind w:left="200"/>
            </w:pPr>
            <w:r>
              <w:rPr>
                <w:rFonts w:ascii="Arial" w:cs="Arial" w:eastAsia="Arial" w:hAnsi="Arial"/>
                <w:b/>
                <w:bCs/>
                <w:color w:val="1B3A5C"/>
                <w:sz w:val="19"/>
                <w:szCs w:val="19"/>
              </w:rPr>
              <w:t xml:space="preserve">The First 90 Days</w:t>
            </w:r>
            <w:r>
              <w:rPr>
                <w:rFonts w:ascii="Arial" w:cs="Arial" w:eastAsia="Arial" w:hAnsi="Arial"/>
                <w:i/>
                <w:iCs/>
                <w:color w:val="444444"/>
                <w:sz w:val="19"/>
                <w:szCs w:val="19"/>
              </w:rPr>
              <w:t xml:space="preserve"> — Michael Watkins</w:t>
            </w:r>
            <w:r>
              <w:rPr>
                <w:rFonts w:ascii="Arial" w:cs="Arial" w:eastAsia="Arial" w:hAnsi="Arial"/>
                <w:color w:val="1A1A1A"/>
                <w:sz w:val="18"/>
                <w:szCs w:val="18"/>
              </w:rPr>
              <w:t xml:space="preserve">   The practical companion — once the identity work Harmon describes is underway, Watkins provides the external transition playbook.</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8B6914" w:sz="16" w:space="0"/>
              <w:bottom w:val="none" w:color="FFFFFF" w:sz="0"/>
              <w:right w:val="none" w:color="FFFFFF" w:sz="0"/>
            </w:tcBorders>
            <w:shd w:fill="FFF8F0" w:val="clear"/>
            <w:tcMar>
              <w:top w:type="dxa" w:w="80"/>
              <w:left w:type="dxa" w:w="200"/>
              <w:bottom w:type="dxa" w:w="80"/>
              <w:right w:type="dxa" w:w="200"/>
            </w:tcMar>
          </w:tcPr>
          <w:p>
            <w:pPr>
              <w:spacing w:after="30" w:before="0"/>
            </w:pPr>
            <w:r>
              <w:rPr>
                <w:rFonts w:ascii="Arial" w:cs="Arial" w:eastAsia="Arial" w:hAnsi="Arial"/>
                <w:b/>
                <w:bCs/>
                <w:color w:val="5C3A1C"/>
                <w:sz w:val="18"/>
                <w:szCs w:val="18"/>
              </w:rPr>
              <w:t xml:space="preserve">◆ ANNOTATION — Related Books</w:t>
            </w:r>
          </w:p>
          <w:p>
            <w:pPr>
              <w:spacing w:after="0" w:before="0"/>
            </w:pPr>
            <w:r>
              <w:rPr>
                <w:rFonts w:ascii="Arial" w:cs="Arial" w:eastAsia="Arial" w:hAnsi="Arial"/>
                <w:i/>
                <w:iCs/>
                <w:color w:val="5C3A1C"/>
                <w:sz w:val="19"/>
                <w:szCs w:val="19"/>
              </w:rPr>
              <w:t xml:space="preserve">Four related books, each with a one-sentence connection that explains the specific relationship — not just 'this book also covers identity.' Notice the relationships are distinct: Ego Is the Enemy is the Stoic angle on the same problem; Leadership and Self-Deception is the diagnostic companion (where Harmon identifies the problem, Arbinger explains why it persists); Man's Search for Meaning provides the framework for addressing what Harmon diagnoses; The First 90 Days is the sequenced companion (the practical book to read once the identity work is underway). These four books together form a coherent reading sequence — which is what related books should do.</w:t>
            </w:r>
          </w:p>
        </w:tc>
      </w:tr>
    </w:tbl>
    <w:p>
      <w:pPr>
        <w:spacing w:after="0" w:before="120"/>
      </w:pPr>
    </w:p>
    <w:p>
      <w:pPr>
        <w:pBdr>
          <w:bottom w:val="single" w:color="C5D5E8" w:sz="6" w:space="1"/>
        </w:pBdr>
        <w:spacing w:after="160" w:before="160"/>
      </w:pPr>
    </w:p>
    <w:p>
      <w:pPr>
        <w:spacing w:after="40" w:before="160"/>
        <w:jc w:val="center"/>
      </w:pPr>
      <w:r>
        <w:rPr>
          <w:rFonts w:ascii="Arial" w:cs="Arial" w:eastAsia="Arial" w:hAnsi="Arial"/>
          <w:b/>
          <w:bCs/>
          <w:color w:val="1B3A5C"/>
          <w:sz w:val="22"/>
          <w:szCs w:val="22"/>
        </w:rPr>
        <w:t xml:space="preserve">Leadership Through Transition</w:t>
      </w:r>
    </w:p>
    <w:p>
      <w:pPr>
        <w:spacing w:after="0" w:before="0"/>
        <w:jc w:val="center"/>
      </w:pPr>
      <w:r>
        <w:rPr>
          <w:rFonts w:ascii="Arial" w:cs="Arial" w:eastAsia="Arial" w:hAnsi="Arial"/>
          <w:i/>
          <w:iCs/>
          <w:color w:val="888888"/>
          <w:sz w:val="19"/>
          <w:szCs w:val="19"/>
        </w:rPr>
        <w:t xml:space="preserve">Book Entry Blueprint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3A5C"/>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2026-06-11T19:56:19.882Z</dcterms:created>
  <dcterms:modified xsi:type="dcterms:W3CDTF">2026-06-11T19:56:19.896Z</dcterms:modified>
</cp:coreProperties>
</file>

<file path=docProps/custom.xml><?xml version="1.0" encoding="utf-8"?>
<Properties xmlns="http://schemas.openxmlformats.org/officeDocument/2006/custom-properties" xmlns:vt="http://schemas.openxmlformats.org/officeDocument/2006/docPropsVTypes"/>
</file>