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80" w:before="0"/>
        <w:jc w:val="center"/>
      </w:pPr>
      <w:r>
        <w:rPr>
          <w:rFonts w:ascii="Arial" w:cs="Arial" w:eastAsia="Arial" w:hAnsi="Arial"/>
          <w:b/>
          <w:bCs/>
          <w:color w:val="1B3A5C"/>
          <w:sz w:val="52"/>
          <w:szCs w:val="52"/>
        </w:rPr>
        <w:t xml:space="preserve">LEADERSHIP THROUGH TRANSITION</w:t>
      </w:r>
    </w:p>
    <w:p>
      <w:pPr>
        <w:spacing w:after="60" w:before="0"/>
        <w:jc w:val="center"/>
      </w:pPr>
      <w:r>
        <w:rPr>
          <w:rFonts w:ascii="Arial" w:cs="Arial" w:eastAsia="Arial" w:hAnsi="Arial"/>
          <w:b w:val="false"/>
          <w:bCs w:val="false"/>
          <w:i/>
          <w:iCs/>
          <w:color w:val="8B6914"/>
          <w:sz w:val="38"/>
          <w:szCs w:val="38"/>
        </w:rPr>
        <w:t xml:space="preserve">Editorial Canon Guide</w:t>
      </w:r>
    </w:p>
    <w:p>
      <w:pPr>
        <w:pBdr>
          <w:bottom w:val="single" w:color="C5D5E8" w:sz="6" w:space="1"/>
        </w:pBdr>
        <w:spacing w:after="180" w:before="180"/>
      </w:pPr>
    </w:p>
    <w:p>
      <w:pPr>
        <w:spacing w:after="40" w:before="80"/>
        <w:jc w:val="center"/>
      </w:pPr>
      <w:r>
        <w:rPr>
          <w:rFonts w:ascii="Arial" w:cs="Arial" w:eastAsia="Arial" w:hAnsi="Arial"/>
          <w:color w:val="444444"/>
          <w:sz w:val="24"/>
          <w:szCs w:val="24"/>
        </w:rPr>
        <w:t xml:space="preserve">Establishing the Intellectual DNA of the Platform</w:t>
      </w:r>
    </w:p>
    <w:p>
      <w:pPr>
        <w:spacing w:after="0" w:before="40"/>
        <w:jc w:val="center"/>
      </w:pPr>
      <w:r>
        <w:rPr>
          <w:rFonts w:ascii="Arial" w:cs="Arial" w:eastAsia="Arial" w:hAnsi="Arial"/>
          <w:i/>
          <w:iCs/>
          <w:color w:val="888888"/>
          <w:sz w:val="19"/>
          <w:szCs w:val="19"/>
        </w:rPr>
        <w:t xml:space="preserve">Derived from Library Architecture Document v1.0  •  40-Book Collection  •  June 2025</w:t>
      </w:r>
    </w:p>
    <w:p>
      <w:r>
        <w:br w:type="page"/>
      </w:r>
    </w:p>
    <w:p>
      <w:pPr>
        <w:pStyle w:val="Heading1"/>
        <w:spacing w:after="160" w:before="360"/>
      </w:pPr>
      <w:r>
        <w:rPr>
          <w:rFonts w:ascii="Arial" w:cs="Arial" w:eastAsia="Arial" w:hAnsi="Arial"/>
          <w:b/>
          <w:bCs/>
          <w:color w:val="1B3A5C"/>
          <w:sz w:val="36"/>
          <w:szCs w:val="36"/>
        </w:rPr>
        <w:t xml:space="preserve">Purpose of This Guide</w:t>
      </w:r>
    </w:p>
    <w:p>
      <w:pPr>
        <w:spacing w:after="60" w:before="60"/>
      </w:pPr>
      <w:r>
        <w:rPr>
          <w:rFonts w:ascii="Arial" w:cs="Arial" w:eastAsia="Arial" w:hAnsi="Arial"/>
          <w:b w:val="false"/>
          <w:bCs w:val="false"/>
          <w:i w:val="false"/>
          <w:iCs w:val="false"/>
          <w:color w:val="1A1A1A"/>
          <w:sz w:val="21"/>
          <w:szCs w:val="21"/>
        </w:rPr>
        <w:t xml:space="preserve">The Editorial Canon Guide answers one question before content creation begins: which books, developed first and developed well, will establish the intellectual DNA of Leadership Through Transition?</w:t>
      </w:r>
    </w:p>
    <w:p>
      <w:pPr>
        <w:spacing w:after="60" w:before="60"/>
      </w:pPr>
      <w:r>
        <w:rPr>
          <w:rFonts w:ascii="Arial" w:cs="Arial" w:eastAsia="Arial" w:hAnsi="Arial"/>
          <w:b w:val="false"/>
          <w:bCs w:val="false"/>
          <w:i w:val="false"/>
          <w:iCs w:val="false"/>
          <w:color w:val="1A1A1A"/>
          <w:sz w:val="21"/>
          <w:szCs w:val="21"/>
        </w:rPr>
        <w:t xml:space="preserve">Not every book in the library carries equal weight. Some books are foundations — they define the voice, set the intellectual standard, and create the cross-book connections that transform a reading list into a genuine knowledge platform. Others serve the reader well once that foundation exists, but they cannot replace it.</w:t>
      </w:r>
    </w:p>
    <w:p>
      <w:pPr>
        <w:spacing w:after="60" w:before="60"/>
      </w:pPr>
      <w:r>
        <w:rPr>
          <w:rFonts w:ascii="Arial" w:cs="Arial" w:eastAsia="Arial" w:hAnsi="Arial"/>
          <w:b w:val="false"/>
          <w:bCs w:val="false"/>
          <w:i w:val="false"/>
          <w:iCs w:val="false"/>
          <w:color w:val="1A1A1A"/>
          <w:sz w:val="21"/>
          <w:szCs w:val="21"/>
        </w:rPr>
        <w:t xml:space="preserve">This guide identifies those foundational books, explains why each belongs in its category, and recommends the order in which book pages should be developed. The goal is not speed. The goal is to build the right books first so that every subsequent entry has something to connect to.</w:t>
      </w:r>
    </w:p>
    <w:p>
      <w:pPr>
        <w:spacing w:after="60" w:before="60"/>
      </w:pPr>
      <w:r>
        <w:rPr>
          <w:rFonts w:ascii="Arial" w:cs="Arial" w:eastAsia="Arial" w:hAnsi="Arial"/>
          <w:b w:val="false"/>
          <w:bCs w:val="false"/>
          <w:i w:val="false"/>
          <w:iCs w:val="false"/>
          <w:color w:val="1A1A1A"/>
          <w:sz w:val="21"/>
          <w:szCs w:val="21"/>
        </w:rPr>
        <w:t xml:space="preserve">The architecture document established what the library contains. This guide determines what gets built first and why.</w:t>
      </w:r>
    </w:p>
    <w:p>
      <w:pPr>
        <w:pBdr>
          <w:bottom w:val="single" w:color="C5D5E8" w:sz="4" w:space="1"/>
        </w:pBdr>
        <w:spacing w:after="180" w:before="180"/>
      </w:pPr>
    </w:p>
    <w:p>
      <w:pPr>
        <w:pStyle w:val="Heading2"/>
        <w:spacing w:after="120" w:before="280"/>
      </w:pPr>
      <w:r>
        <w:rPr>
          <w:rFonts w:ascii="Arial" w:cs="Arial" w:eastAsia="Arial" w:hAnsi="Arial"/>
          <w:b/>
          <w:bCs/>
          <w:color w:val="1B3A5C"/>
          <w:sz w:val="27"/>
          <w:szCs w:val="27"/>
        </w:rPr>
        <w:t xml:space="preserve">How to Use This Guide</w:t>
      </w:r>
    </w:p>
    <w:p>
      <w:pPr>
        <w:spacing w:after="60" w:before="60"/>
      </w:pPr>
      <w:r>
        <w:rPr>
          <w:rFonts w:ascii="Arial" w:cs="Arial" w:eastAsia="Arial" w:hAnsi="Arial"/>
          <w:b w:val="false"/>
          <w:bCs w:val="false"/>
          <w:i w:val="false"/>
          <w:iCs w:val="false"/>
          <w:color w:val="1A1A1A"/>
          <w:sz w:val="21"/>
          <w:szCs w:val="21"/>
        </w:rPr>
        <w:t xml:space="preserve">This guide organizes canon books into seven categories. These categories are not mutually exclusive — the best books belong to multiple categories simultaneously, and that overlap is intentional. A book that anchors the Philosophy &amp; Meaning canon and serves as a Cross-Book Wisdom node is doing double structural work for the platform. Recognize those books and prioritize them accordingly.</w:t>
      </w:r>
    </w:p>
    <w:p>
      <w:pPr>
        <w:spacing w:after="60" w:before="60"/>
      </w:pPr>
      <w:r>
        <w:rPr>
          <w:rFonts w:ascii="Arial" w:cs="Arial" w:eastAsia="Arial" w:hAnsi="Arial"/>
          <w:b w:val="false"/>
          <w:bCs w:val="false"/>
          <w:i w:val="false"/>
          <w:iCs w:val="false"/>
          <w:color w:val="1A1A1A"/>
          <w:sz w:val="21"/>
          <w:szCs w:val="21"/>
        </w:rPr>
        <w:t xml:space="preserve">Each canon entry includes:</w:t>
      </w:r>
    </w:p>
    <w:p>
      <w:pPr>
        <w:pStyle w:val="ListParagraph"/>
        <w:numPr>
          <w:ilvl w:val="0"/>
          <w:numId w:val="2"/>
        </w:numPr>
        <w:spacing w:after="40" w:before="40"/>
      </w:pPr>
      <w:r>
        <w:rPr>
          <w:rFonts w:ascii="Arial" w:cs="Arial" w:eastAsia="Arial" w:hAnsi="Arial"/>
          <w:color w:val="1A1A1A"/>
          <w:sz w:val="21"/>
          <w:szCs w:val="21"/>
        </w:rPr>
        <w:t xml:space="preserve">Why it belongs in the canon — the specific rationale for its canonical status within this platform</w:t>
      </w:r>
    </w:p>
    <w:p>
      <w:pPr>
        <w:pStyle w:val="ListParagraph"/>
        <w:numPr>
          <w:ilvl w:val="0"/>
          <w:numId w:val="2"/>
        </w:numPr>
        <w:spacing w:after="40" w:before="40"/>
      </w:pPr>
      <w:r>
        <w:rPr>
          <w:rFonts w:ascii="Arial" w:cs="Arial" w:eastAsia="Arial" w:hAnsi="Arial"/>
          <w:color w:val="1A1A1A"/>
          <w:sz w:val="21"/>
          <w:szCs w:val="21"/>
        </w:rPr>
        <w:t xml:space="preserve">Wisdom themes — the cross-library concepts it anchors</w:t>
      </w:r>
    </w:p>
    <w:p>
      <w:pPr>
        <w:pStyle w:val="ListParagraph"/>
        <w:numPr>
          <w:ilvl w:val="0"/>
          <w:numId w:val="2"/>
        </w:numPr>
        <w:spacing w:after="40" w:before="40"/>
      </w:pPr>
      <w:r>
        <w:rPr>
          <w:rFonts w:ascii="Arial" w:cs="Arial" w:eastAsia="Arial" w:hAnsi="Arial"/>
          <w:color w:val="1A1A1A"/>
          <w:sz w:val="21"/>
          <w:szCs w:val="21"/>
        </w:rPr>
        <w:t xml:space="preserve">Key pathways — the reader journeys it serves most directly</w:t>
      </w:r>
    </w:p>
    <w:p>
      <w:pPr>
        <w:pStyle w:val="ListParagraph"/>
        <w:numPr>
          <w:ilvl w:val="0"/>
          <w:numId w:val="2"/>
        </w:numPr>
        <w:spacing w:after="40" w:before="40"/>
      </w:pPr>
      <w:r>
        <w:rPr>
          <w:rFonts w:ascii="Arial" w:cs="Arial" w:eastAsia="Arial" w:hAnsi="Arial"/>
          <w:color w:val="1A1A1A"/>
          <w:sz w:val="21"/>
          <w:szCs w:val="21"/>
        </w:rPr>
        <w:t xml:space="preserve">Content priority — a development priority designation (Tier 1 / Tier 2 / Tier 3)</w:t>
      </w:r>
    </w:p>
    <w:p>
      <w:pPr>
        <w:pStyle w:val="ListParagraph"/>
        <w:numPr>
          <w:ilvl w:val="0"/>
          <w:numId w:val="2"/>
        </w:numPr>
        <w:spacing w:after="40" w:before="40"/>
      </w:pPr>
      <w:r>
        <w:rPr>
          <w:rFonts w:ascii="Arial" w:cs="Arial" w:eastAsia="Arial" w:hAnsi="Arial"/>
          <w:color w:val="1A1A1A"/>
          <w:sz w:val="21"/>
          <w:szCs w:val="21"/>
        </w:rPr>
        <w:t xml:space="preserve">Priority note — where relevant, a specific editorial instruction for development</w:t>
      </w:r>
    </w:p>
    <w:p>
      <w:pPr>
        <w:spacing w:after="60" w:before="60"/>
      </w:pPr>
      <w:r>
        <w:rPr>
          <w:rFonts w:ascii="Arial" w:cs="Arial" w:eastAsia="Arial" w:hAnsi="Arial"/>
          <w:b w:val="false"/>
          <w:bCs w:val="false"/>
          <w:i w:val="false"/>
          <w:iCs w:val="false"/>
          <w:color w:val="1A1A1A"/>
          <w:sz w:val="21"/>
          <w:szCs w:val="21"/>
        </w:rPr>
        <w:t xml:space="preserve">The guide closes with a recommended Development Queue — a sequenced list of book pages in the order they should be written.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40"/>
              <w:left w:type="dxa" w:w="240"/>
              <w:bottom w:type="dxa" w:w="100"/>
              <w:right w:type="dxa" w:w="240"/>
            </w:tcMar>
          </w:tcPr>
          <w:p>
            <w:r>
              <w:rPr>
                <w:rFonts w:ascii="Arial" w:cs="Arial" w:eastAsia="Arial" w:hAnsi="Arial"/>
                <w:b/>
                <w:bCs/>
                <w:color w:val="FFFFFF"/>
                <w:sz w:val="30"/>
                <w:szCs w:val="30"/>
              </w:rPr>
              <w:t xml:space="preserve">Section 1: The Foundational Canon</w:t>
            </w:r>
          </w:p>
          <w:p>
            <w:pPr>
              <w:spacing w:before="40"/>
            </w:pPr>
            <w:r>
              <w:rPr>
                <w:rFonts w:ascii="Arial" w:cs="Arial" w:eastAsia="Arial" w:hAnsi="Arial"/>
                <w:i/>
                <w:iCs/>
                <w:color w:val="D0DCE8"/>
                <w:sz w:val="20"/>
                <w:szCs w:val="20"/>
              </w:rPr>
              <w:t xml:space="preserve">12 books that establish the intellectual DNA of Leadership Through Transition</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The Foundational Canon is the library's skeleton. These 12 books were selected because each one satisfies three criteria simultaneously: it serves multiple reading pathways, it anchors at least three Cross-Book Wisdom themes, and it speaks directly to the primary reader — a military leader standing at the threshold of a major life transition.</w:t>
      </w:r>
    </w:p>
    <w:p>
      <w:pPr>
        <w:spacing w:after="60" w:before="60"/>
      </w:pPr>
      <w:r>
        <w:rPr>
          <w:rFonts w:ascii="Arial" w:cs="Arial" w:eastAsia="Arial" w:hAnsi="Arial"/>
          <w:b w:val="false"/>
          <w:bCs w:val="false"/>
          <w:i w:val="false"/>
          <w:iCs w:val="false"/>
          <w:color w:val="1A1A1A"/>
          <w:sz w:val="21"/>
          <w:szCs w:val="21"/>
        </w:rPr>
        <w:t xml:space="preserve">No other books in the library carry all three qualities at once. Developing these pages first creates the connective tissue that makes every subsequent entry more valuable. A reader who discovers the platform through Atomic Habits or The First 90 Days will find richer cross-references, deeper connections, and a more coherent voice if the Foundational Canon already exists.</w:t>
      </w:r>
    </w:p>
    <w:p>
      <w:pPr>
        <w:spacing w:after="60" w:before="60"/>
      </w:pPr>
      <w:r>
        <w:rPr>
          <w:rFonts w:ascii="Arial" w:cs="Arial" w:eastAsia="Arial" w:hAnsi="Arial"/>
          <w:b w:val="false"/>
          <w:bCs w:val="false"/>
          <w:i w:val="false"/>
          <w:iCs w:val="false"/>
          <w:color w:val="1A1A1A"/>
          <w:sz w:val="21"/>
          <w:szCs w:val="21"/>
        </w:rPr>
        <w:t xml:space="preserve">These are not the 12 'best' books in the collection. They are the 12 books whose absence would most damage the platform's intellectual integrity.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1</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Man's Search for Meaning</w:t>
            </w:r>
          </w:p>
          <w:p>
            <w:pPr>
              <w:spacing w:before="30"/>
            </w:pPr>
            <w:r>
              <w:rPr>
                <w:rFonts w:ascii="Arial" w:cs="Arial" w:eastAsia="Arial" w:hAnsi="Arial"/>
                <w:i/>
                <w:iCs/>
                <w:color w:val="D0DCE8"/>
                <w:sz w:val="19"/>
                <w:szCs w:val="19"/>
              </w:rPr>
              <w:t xml:space="preserve">Viktor Frankl</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 FIRST</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single most important book in the library for the primary reader. Frankl addresses the deepest questions of the transition experience — not career change, but meaning change. When a military leader loses rank, mission, and tribe simultaneously, the crisis is existential before it is practical. This book provides the philosophical framework that makes every other book in the library more meaningful. It is the only text that speaks directly to suffering as the ground where identity is reconstructed. No other book does this work.</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Meaning • Purpose • Identity • Resilience • Character</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Finding Purpose After Service • Identity Beyond Rank • Resilience Under Pressure • Preparing for Retirement • Personal Growth &amp; Reflection</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Develop this page first, without exception. It sets the emotional and philosophical register for the entire platform. If only one book page existed, it should be this one.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2</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Meditations</w:t>
            </w:r>
          </w:p>
          <w:p>
            <w:pPr>
              <w:spacing w:before="30"/>
            </w:pPr>
            <w:r>
              <w:rPr>
                <w:rFonts w:ascii="Arial" w:cs="Arial" w:eastAsia="Arial" w:hAnsi="Arial"/>
                <w:i/>
                <w:iCs/>
                <w:color w:val="D0DCE8"/>
                <w:sz w:val="19"/>
                <w:szCs w:val="19"/>
              </w:rPr>
              <w:t xml:space="preserve">Marcus Aurelius</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 FIRST</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highest-density Wisdom Engine node in the library — connecting six of the fifteen approved wisdom themes. Meditations is the anchor of the Stoic tradition that runs through roughly 20% of the collection, and it is the practical philosophy closest to military formation: duty, discipline, equanimity under pressure, and identity rooted in character rather than rank. Marcus Aurelius held the most powerful position in the Roman world and wrote these notes to himself as reminders that the position was not the man. That is the exact lesson this platform exists to teach.</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Character • Resilience • Meaning • Purpose • Identity • Service</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Resilience Under Pressure • Leadership Foundations • Personal Growth &amp; Reflection • Finding Purpose After Service</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The Stoic tradition is the library's strongest intellectual thread. Meditations is its source. Developing this page establishes the philosophical standard against which all other commentary will be measured.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3</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Ego Is the Enemy</w:t>
            </w:r>
          </w:p>
          <w:p>
            <w:pPr>
              <w:spacing w:before="30"/>
            </w:pPr>
            <w:r>
              <w:rPr>
                <w:rFonts w:ascii="Arial" w:cs="Arial" w:eastAsia="Arial" w:hAnsi="Arial"/>
                <w:i/>
                <w:iCs/>
                <w:color w:val="D0DCE8"/>
                <w:sz w:val="19"/>
                <w:szCs w:val="19"/>
              </w:rPr>
              <w:t xml:space="preserve">Ryan Holiday</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 FIRST</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practically useful identity book in the library for the transition reader. Where Frankl approaches identity through meaning and Aurelius through philosophy, Holiday approaches it through an honest diagnosis of what most leaders actually struggle with when their title disappears — the ego that was hiding behind it. This book will resonate immediately with military leaders who have watched peers fail in transition not from lack of competence but from inability to release what the rank represented. It is accessible, direct, and applicable.</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Identity • Character • Humility • Adaptability • Resilience</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Resilience Under Pressure • Personal Growth &amp; Reflection • Preparing for Retirement</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Develop alongside Man's Search for Meaning and Meditations. These three together constitute the identity cluster that must exist before readers can meaningfully navigate the platform.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4</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The Servant as Leader</w:t>
            </w:r>
          </w:p>
          <w:p>
            <w:pPr>
              <w:spacing w:before="30"/>
            </w:pPr>
            <w:r>
              <w:rPr>
                <w:rFonts w:ascii="Arial" w:cs="Arial" w:eastAsia="Arial" w:hAnsi="Arial"/>
                <w:i/>
                <w:iCs/>
                <w:color w:val="D0DCE8"/>
                <w:sz w:val="19"/>
                <w:szCs w:val="19"/>
              </w:rPr>
              <w:t xml:space="preserve">Robert Greenleaf</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 FIRST</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fullest articulation of post-service leadership identity in the library. Greenleaf's core argument — that the leader exists primarily to serve the growth of others — maps directly onto the military value system and offers the transition reader something most books do not: a positive identity container to move toward, not merely a warning about the ego to leave behind. It anchors five wisdom themes and serves more reading pathways than any other short text. At fewer than 50 pages, it is arguably the highest return-per-page book in the collection.</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Service • Identity • Legacy • Mentorship • Purpose</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Finding Purpose After Service • Leadership Foundations • Preparing for Retirement • Developing Future Leaders</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This text is short enough that the commentary will carry most of the weight. The development challenge is doing justice to its simplicity without reducing it. Resist the temptation to over-explain.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5</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Leadership and Self-Deception</w:t>
            </w:r>
          </w:p>
          <w:p>
            <w:pPr>
              <w:spacing w:before="30"/>
            </w:pPr>
            <w:r>
              <w:rPr>
                <w:rFonts w:ascii="Arial" w:cs="Arial" w:eastAsia="Arial" w:hAnsi="Arial"/>
                <w:i/>
                <w:iCs/>
                <w:color w:val="D0DCE8"/>
                <w:sz w:val="19"/>
                <w:szCs w:val="19"/>
              </w:rPr>
              <w:t xml:space="preserve">The Arbinger Institute</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psychologically honest leadership book in the collection. Where other books describe what good leaders do, this one diagnoses why leaders — including accomplished, well-intentioned ones — systematically fail to see themselves accurately. For a transition reader who has spent a career receiving deference, this book does something no other text does as directly: it asks whether the identity they've built is actually self-aware or self-serving. That question is essential before any of the other work can begin.</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Identity • Accountability • Character • Trust</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Leadership Foundations • Personal Growth &amp; Reflection • Finding Purpose After Service</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Develop early in the identity cluster. The commentary on this book should not be gentle — the book itself isn't. Honest reflection is the point.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6</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7 Habits of Highly Effective People</w:t>
            </w:r>
          </w:p>
          <w:p>
            <w:pPr>
              <w:spacing w:before="30"/>
            </w:pPr>
            <w:r>
              <w:rPr>
                <w:rFonts w:ascii="Arial" w:cs="Arial" w:eastAsia="Arial" w:hAnsi="Arial"/>
                <w:i/>
                <w:iCs/>
                <w:color w:val="D0DCE8"/>
                <w:sz w:val="19"/>
                <w:szCs w:val="19"/>
              </w:rPr>
              <w:t xml:space="preserve">Stephen Covey</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bridge book of the library — it connects philosophical depth to daily application more completely than any other title in the collection. Covey anchors five wisdom themes and serves five reading pathways simultaneously. More than that, his character ethic framing — the idea that effectiveness is built on principle, not technique — is the operating premise of this entire platform. The 7 Habits is the book that makes the philosophy of Frankl and Aurelius actionable for a leader who needs to reorganize their daily life, not just their worldview.</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Identity • Purpose • Character • Accountability • Adaptability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Finding Purpose After Service • Preparing for Retirement • Leadership Foundations • Personal Growth &amp; Reflection</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The risk with this book is that readers already think they know it. The commentary must find the angles that feel new — particularly the character ethic framing and the private victory before public victory sequence as a transition model.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7</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Leaders Eat Last</w:t>
            </w:r>
          </w:p>
          <w:p>
            <w:pPr>
              <w:spacing w:before="30"/>
            </w:pPr>
            <w:r>
              <w:rPr>
                <w:rFonts w:ascii="Arial" w:cs="Arial" w:eastAsia="Arial" w:hAnsi="Arial"/>
                <w:i/>
                <w:iCs/>
                <w:color w:val="D0DCE8"/>
                <w:sz w:val="19"/>
                <w:szCs w:val="19"/>
              </w:rPr>
              <w:t xml:space="preserve">Simon Sinek</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important military-to-civilian bridge book in the library. Sinek's biological framework for leadership — the circle of safety, the hormones of trust and belonging — is the most accessible explanation available for why military service produces the particular kind of leadership identity it does, and why leaving that environment feels like the loss that it is. This book names the belonging crisis of transition without calling it a crisis. It belongs in the foundational canon because it speaks the reader's experience back to them before asking anything of them.</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Service • Trust • Belonging • Leadership • Purpose</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Finding Purpose After Service • Leadership Foundations • Command Leadership</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The commentary on this book should explicitly address the loss of tribe — the belonging dimension that most transition resources ignore. This is the book that earns trust with the reader fastest.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8</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Start With Why</w:t>
            </w:r>
          </w:p>
          <w:p>
            <w:pPr>
              <w:spacing w:before="30"/>
            </w:pPr>
            <w:r>
              <w:rPr>
                <w:rFonts w:ascii="Arial" w:cs="Arial" w:eastAsia="Arial" w:hAnsi="Arial"/>
                <w:i/>
                <w:iCs/>
                <w:color w:val="D0DCE8"/>
                <w:sz w:val="19"/>
                <w:szCs w:val="19"/>
              </w:rPr>
              <w:t xml:space="preserve">Simon Sinek</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accessible entry point for the purpose questions that animate the entire platform. Where Man's Search for Meaning addresses purpose philosophically, Start With Why makes it organizational and personal simultaneously. For a military leader who has never had to articulate their Why because the institution provided it, this book is the first productive exercise in purposeful self-examination. It is also the reader's introduction to the idea that purpose precedes strategy — a reorientation many leaders have to make when they leave a structure that provided both.</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Purpose • Identity • Leadership • Meaning</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Finding Purpose After Service • Identity Beyond Rank • Building a Second Career • Leadership Foundations</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Part of the Sinek trilogy in the library (with Leaders Eat Last and The Infinite Game). Developing all three creates a coherent purpose arc that readers can follow across books.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9</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Extreme Ownership</w:t>
            </w:r>
          </w:p>
          <w:p>
            <w:pPr>
              <w:spacing w:before="30"/>
            </w:pPr>
            <w:r>
              <w:rPr>
                <w:rFonts w:ascii="Arial" w:cs="Arial" w:eastAsia="Arial" w:hAnsi="Arial"/>
                <w:i/>
                <w:iCs/>
                <w:color w:val="D0DCE8"/>
                <w:sz w:val="19"/>
                <w:szCs w:val="19"/>
              </w:rPr>
              <w:t xml:space="preserve">Jocko Willink, Leif Babin</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credible military leadership entry point in the library. For the reader who arrives skeptical — who wonders whether a platform built around books can say anything meaningful about what it's like to lead in uniform — this book is the answer. Willink and Babin speak the reader's language and earn the right to apply military principles to civilian contexts. It is also the clearest statement of personal accountability in the collection, and accountability is one of the most transferable leadership skills a military leader carries into the civilian world.</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Accountability • Leadership • Service • Trust</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Leadership Foundations • Command Leadership • Building a Second Career • Developing Future Leaders</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The commentary should not focus on the SEAL narrative — the reader doesn't need another war story. It should focus on the accountability philosophy and how it applies to a leader who no longer has the authority the philosophy was built around.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10</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Good to Great</w:t>
            </w:r>
          </w:p>
          <w:p>
            <w:pPr>
              <w:spacing w:before="30"/>
            </w:pPr>
            <w:r>
              <w:rPr>
                <w:rFonts w:ascii="Arial" w:cs="Arial" w:eastAsia="Arial" w:hAnsi="Arial"/>
                <w:i/>
                <w:iCs/>
                <w:color w:val="D0DCE8"/>
                <w:sz w:val="19"/>
                <w:szCs w:val="19"/>
              </w:rPr>
              <w:t xml:space="preserve">Jim Collins</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library's most rigorous empirical leadership text and the bridge between philosophical leadership and organizational performance. Collins' concept of Level 5 Leadership — the combination of fierce professional will with personal humility — is the most research-grounded description in the literature of what the best military leaders already embody. This book gives the transition reader a civilian-credible vocabulary for the leadership identity they've spent a career developing. It also provides the Hedgehog Concept as a practical tool for thinking about second career alignment.</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Leadership • Character • Accountability • Legacy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Leadership Foundations • Command Leadership • Building a Second Career • Finding Purpose After Service</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Develop the Level 5 Leadership analysis carefully — this is where the military-to-civilian translation is most powerful and most specific. The research credibility of this book matters to the reader's secondary audience of civilian executives.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11</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Five Dysfunctions of a Team</w:t>
            </w:r>
          </w:p>
          <w:p>
            <w:pPr>
              <w:spacing w:before="30"/>
            </w:pPr>
            <w:r>
              <w:rPr>
                <w:rFonts w:ascii="Arial" w:cs="Arial" w:eastAsia="Arial" w:hAnsi="Arial"/>
                <w:i/>
                <w:iCs/>
                <w:color w:val="D0DCE8"/>
                <w:sz w:val="19"/>
                <w:szCs w:val="19"/>
              </w:rPr>
              <w:t xml:space="preserve">Patrick Lencioni</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essential team trust framework in the library and the book most directly relevant to what military leaders find disorienting in civilian organizations. In uniform, trust is assumed — teams are built to function under extreme stress. In civilian life, trust must be built deliberately, and the dysfunctions Lencioni describes (absence of trust, fear of conflict, lack of commitment, avoidance of accountability, inattention to results) feel foreign because many military leaders have never had to construct the conditions Lencioni describes. This book is the map for that new terrain.</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Trust • Accountability • Belonging • Leadership</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Leadership Foundations • Developing Future Leaders • Command Leadership • Building a Second Career</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The commentary should address the trust assumption gap directly — what military leaders take for granted in their teams that civilian leaders must actively create. This framing is unique to this platform.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12</w:t>
            </w:r>
          </w:p>
        </w:tc>
        <w:tc>
          <w:tcPr>
            <w:tcW w:type="dxa" w:w="4200"/>
            <w:tcBorders>
              <w:top w:val="none" w:color="FFFFFF" w:sz="0"/>
              <w:left w:val="none" w:color="FFFFFF" w:sz="0"/>
              <w:bottom w:val="none" w:color="FFFFFF" w:sz="0"/>
              <w:right w:val="none" w:color="FFFFFF" w:sz="0"/>
            </w:tcBorders>
            <w:shd w:fill="1B3A5C" w:val="clear"/>
            <w:tcMar>
              <w:top w:type="dxa" w:w="100"/>
              <w:left w:type="dxa" w:w="160"/>
              <w:bottom w:type="dxa" w:w="80"/>
              <w:right w:type="dxa" w:w="120"/>
            </w:tcMar>
          </w:tcPr>
          <w:p>
            <w:r>
              <w:rPr>
                <w:rFonts w:ascii="Arial" w:cs="Arial" w:eastAsia="Arial" w:hAnsi="Arial"/>
                <w:b/>
                <w:bCs/>
                <w:color w:val="FFFFFF"/>
                <w:sz w:val="23"/>
                <w:szCs w:val="23"/>
              </w:rPr>
              <w:t xml:space="preserve">The Obstacle Is the Way</w:t>
            </w:r>
          </w:p>
          <w:p>
            <w:pPr>
              <w:spacing w:before="30"/>
            </w:pPr>
            <w:r>
              <w:rPr>
                <w:rFonts w:ascii="Arial" w:cs="Arial" w:eastAsia="Arial" w:hAnsi="Arial"/>
                <w:i/>
                <w:iCs/>
                <w:color w:val="D0DCE8"/>
                <w:sz w:val="19"/>
                <w:szCs w:val="19"/>
              </w:rPr>
              <w:t xml:space="preserve">Ryan Holiday</w:t>
            </w:r>
          </w:p>
        </w:tc>
        <w:tc>
          <w:tcPr>
            <w:tcW w:type="dxa" w:w="4560"/>
            <w:tcBorders>
              <w:top w:val="none" w:color="FFFFFF" w:sz="0"/>
              <w:left w:val="none" w:color="FFFFFF" w:sz="0"/>
              <w:bottom w:val="none" w:color="FFFFFF" w:sz="0"/>
              <w:right w:val="none" w:color="FFFFFF" w:sz="0"/>
            </w:tcBorders>
            <w:shd w:fill="1B3A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practically applied Stoic text in the library and the book that closes the philosophical arc opened by Meditations. Where Meditations is a private journal and Ego Is the Enemy is a diagnosis, The Obstacle Is the Way is an instruction for action. It belongs in the foundational canon because transition — by definition — presents obstacles, and the Stoic framework for treating adversity as the path forward is among the most useful things this platform can offer a reader who is struggling rather than thriving. It also serves as the essential opening text for the Resilience Under Pressure pathway.</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Resilience • Adaptability • Character • Meaning</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Resilience Under Pressure • Leading Through Uncertainty • Personal Growth &amp; Reflection • Identity Beyond Rank</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With Meditations and Ego Is the Enemy, this completes the Stoic trilogy that forms the most intellectually coherent cluster in the library. Developing all three in sequence gives the platform its strongest early cross-book connections.</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3E" w:val="clear"/>
            <w:tcMar>
              <w:top w:type="dxa" w:w="140"/>
              <w:left w:type="dxa" w:w="240"/>
              <w:bottom w:type="dxa" w:w="100"/>
              <w:right w:type="dxa" w:w="240"/>
            </w:tcMar>
          </w:tcPr>
          <w:p>
            <w:r>
              <w:rPr>
                <w:rFonts w:ascii="Arial" w:cs="Arial" w:eastAsia="Arial" w:hAnsi="Arial"/>
                <w:b/>
                <w:bCs/>
                <w:color w:val="FFFFFF"/>
                <w:sz w:val="30"/>
                <w:szCs w:val="30"/>
              </w:rPr>
              <w:t xml:space="preserve">Section 2: Core Leadership Canon</w:t>
            </w:r>
          </w:p>
          <w:p>
            <w:pPr>
              <w:spacing w:before="40"/>
            </w:pPr>
            <w:r>
              <w:rPr>
                <w:rFonts w:ascii="Arial" w:cs="Arial" w:eastAsia="Arial" w:hAnsi="Arial"/>
                <w:i/>
                <w:iCs/>
                <w:color w:val="D0DCE8"/>
                <w:sz w:val="20"/>
                <w:szCs w:val="20"/>
              </w:rPr>
              <w:t xml:space="preserve">Books that define the platform's leadership philosophy and organizational wisdom</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The Core Leadership Canon includes books that speak primarily to leadership as a discipline — how leaders think, build teams, hold people accountable, make decisions, and create cultures. These books serve readers who are still actively leading, leaders preparing to lead in new contexts, and those whose post-service purpose centers on developing others. Several are already in the Foundational Canon. The additional titles below extend the leadership architecture without duplicating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2E5F3E"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A</w:t>
            </w:r>
          </w:p>
        </w:tc>
        <w:tc>
          <w:tcPr>
            <w:tcW w:type="dxa" w:w="4200"/>
            <w:tcBorders>
              <w:top w:val="none" w:color="FFFFFF" w:sz="0"/>
              <w:left w:val="none" w:color="FFFFFF" w:sz="0"/>
              <w:bottom w:val="none" w:color="FFFFFF" w:sz="0"/>
              <w:right w:val="none" w:color="FFFFFF" w:sz="0"/>
            </w:tcBorders>
            <w:shd w:fill="2E5F3E" w:val="clear"/>
            <w:tcMar>
              <w:top w:type="dxa" w:w="100"/>
              <w:left w:type="dxa" w:w="160"/>
              <w:bottom w:type="dxa" w:w="80"/>
              <w:right w:type="dxa" w:w="120"/>
            </w:tcMar>
          </w:tcPr>
          <w:p>
            <w:r>
              <w:rPr>
                <w:rFonts w:ascii="Arial" w:cs="Arial" w:eastAsia="Arial" w:hAnsi="Arial"/>
                <w:b/>
                <w:bCs/>
                <w:color w:val="FFFFFF"/>
                <w:sz w:val="23"/>
                <w:szCs w:val="23"/>
              </w:rPr>
              <w:t xml:space="preserve">Crucial Conversations</w:t>
            </w:r>
          </w:p>
          <w:p>
            <w:pPr>
              <w:spacing w:before="30"/>
            </w:pPr>
            <w:r>
              <w:rPr>
                <w:rFonts w:ascii="Arial" w:cs="Arial" w:eastAsia="Arial" w:hAnsi="Arial"/>
                <w:i/>
                <w:iCs/>
                <w:color w:val="D0DCE8"/>
                <w:sz w:val="19"/>
                <w:szCs w:val="19"/>
              </w:rPr>
              <w:t xml:space="preserve">Grenny, Patterson, McMillan, Switzler, Gregory</w:t>
            </w:r>
          </w:p>
        </w:tc>
        <w:tc>
          <w:tcPr>
            <w:tcW w:type="dxa" w:w="4560"/>
            <w:tcBorders>
              <w:top w:val="none" w:color="FFFFFF" w:sz="0"/>
              <w:left w:val="none" w:color="FFFFFF" w:sz="0"/>
              <w:bottom w:val="none" w:color="FFFFFF" w:sz="0"/>
              <w:right w:val="none" w:color="FFFFFF" w:sz="0"/>
            </w:tcBorders>
            <w:shd w:fill="2E5F3E"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Communication is the skill military leaders most consistently underestimate when entering civilian organizations. Orders can replace conversation in uniform. They cannot in a civilian boardroom, a nonprofit, or a family business. This book is the highest-return practical investment a transitioning leader can make, and it belongs in the leadership canon because its application — learning to have high-stakes conversations without defaulting to authority — is one of the defining challenges of the transition itself.</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Communication • Trust • Belonging</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Building a Second Career • Leadership Foundations • Developing Future Leaders</w:t>
            </w:r>
          </w:p>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2E5F3E"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B</w:t>
            </w:r>
          </w:p>
        </w:tc>
        <w:tc>
          <w:tcPr>
            <w:tcW w:type="dxa" w:w="4200"/>
            <w:tcBorders>
              <w:top w:val="none" w:color="FFFFFF" w:sz="0"/>
              <w:left w:val="none" w:color="FFFFFF" w:sz="0"/>
              <w:bottom w:val="none" w:color="FFFFFF" w:sz="0"/>
              <w:right w:val="none" w:color="FFFFFF" w:sz="0"/>
            </w:tcBorders>
            <w:shd w:fill="2E5F3E" w:val="clear"/>
            <w:tcMar>
              <w:top w:type="dxa" w:w="100"/>
              <w:left w:type="dxa" w:w="160"/>
              <w:bottom w:type="dxa" w:w="80"/>
              <w:right w:type="dxa" w:w="120"/>
            </w:tcMar>
          </w:tcPr>
          <w:p>
            <w:r>
              <w:rPr>
                <w:rFonts w:ascii="Arial" w:cs="Arial" w:eastAsia="Arial" w:hAnsi="Arial"/>
                <w:b/>
                <w:bCs/>
                <w:color w:val="FFFFFF"/>
                <w:sz w:val="23"/>
                <w:szCs w:val="23"/>
              </w:rPr>
              <w:t xml:space="preserve">Team of Teams</w:t>
            </w:r>
          </w:p>
          <w:p>
            <w:pPr>
              <w:spacing w:before="30"/>
            </w:pPr>
            <w:r>
              <w:rPr>
                <w:rFonts w:ascii="Arial" w:cs="Arial" w:eastAsia="Arial" w:hAnsi="Arial"/>
                <w:i/>
                <w:iCs/>
                <w:color w:val="D0DCE8"/>
                <w:sz w:val="19"/>
                <w:szCs w:val="19"/>
              </w:rPr>
              <w:t xml:space="preserve">Stanley McChrystal</w:t>
            </w:r>
          </w:p>
        </w:tc>
        <w:tc>
          <w:tcPr>
            <w:tcW w:type="dxa" w:w="4560"/>
            <w:tcBorders>
              <w:top w:val="none" w:color="FFFFFF" w:sz="0"/>
              <w:left w:val="none" w:color="FFFFFF" w:sz="0"/>
              <w:bottom w:val="none" w:color="FFFFFF" w:sz="0"/>
              <w:right w:val="none" w:color="FFFFFF" w:sz="0"/>
            </w:tcBorders>
            <w:shd w:fill="2E5F3E"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only book in the collection that directly addresses how military leadership thinking must adapt to complex, fast-moving environments — and does so using a military case study. McChrystal's account of restructuring the Joint Special Operations Command gives the platform both credibility with military readers and a direct argument for why adaptability is a leadership value, not just a tactical skill. It is the Command Leadership pathway's anchor text.</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Adaptability • Trust • Leadership • Accountability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Command Leadership • Leadership Foundations • Leading Through Uncertainty</w:t>
            </w:r>
          </w:p>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2E5F3E"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C</w:t>
            </w:r>
          </w:p>
        </w:tc>
        <w:tc>
          <w:tcPr>
            <w:tcW w:type="dxa" w:w="4200"/>
            <w:tcBorders>
              <w:top w:val="none" w:color="FFFFFF" w:sz="0"/>
              <w:left w:val="none" w:color="FFFFFF" w:sz="0"/>
              <w:bottom w:val="none" w:color="FFFFFF" w:sz="0"/>
              <w:right w:val="none" w:color="FFFFFF" w:sz="0"/>
            </w:tcBorders>
            <w:shd w:fill="2E5F3E" w:val="clear"/>
            <w:tcMar>
              <w:top w:type="dxa" w:w="100"/>
              <w:left w:type="dxa" w:w="160"/>
              <w:bottom w:type="dxa" w:w="80"/>
              <w:right w:type="dxa" w:w="120"/>
            </w:tcMar>
          </w:tcPr>
          <w:p>
            <w:r>
              <w:rPr>
                <w:rFonts w:ascii="Arial" w:cs="Arial" w:eastAsia="Arial" w:hAnsi="Arial"/>
                <w:b/>
                <w:bCs/>
                <w:color w:val="FFFFFF"/>
                <w:sz w:val="23"/>
                <w:szCs w:val="23"/>
              </w:rPr>
              <w:t xml:space="preserve">The Effective Executive</w:t>
            </w:r>
          </w:p>
          <w:p>
            <w:pPr>
              <w:spacing w:before="30"/>
            </w:pPr>
            <w:r>
              <w:rPr>
                <w:rFonts w:ascii="Arial" w:cs="Arial" w:eastAsia="Arial" w:hAnsi="Arial"/>
                <w:i/>
                <w:iCs/>
                <w:color w:val="D0DCE8"/>
                <w:sz w:val="19"/>
                <w:szCs w:val="19"/>
              </w:rPr>
              <w:t xml:space="preserve">Peter Drucker</w:t>
            </w:r>
          </w:p>
        </w:tc>
        <w:tc>
          <w:tcPr>
            <w:tcW w:type="dxa" w:w="4560"/>
            <w:tcBorders>
              <w:top w:val="none" w:color="FFFFFF" w:sz="0"/>
              <w:left w:val="none" w:color="FFFFFF" w:sz="0"/>
              <w:bottom w:val="none" w:color="FFFFFF" w:sz="0"/>
              <w:right w:val="none" w:color="FFFFFF" w:sz="0"/>
            </w:tcBorders>
            <w:shd w:fill="2E5F3E"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Drucker's framework for effectiveness — managing time, focusing on contribution, making decisions systematically — is the most durable civilian executive framework in the library. For a military leader entering a corporate or organizational role for the first time, this book provides the conceptual vocabulary that translates leadership competence into civilian professional performance. It is the quietly essential book in the Building a Second Career pathway.</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Accountability • Leadership • Adaptability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Building a Second Career • Leadership Foundations • Command Leadership</w:t>
            </w:r>
          </w:p>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2E5F3E"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D</w:t>
            </w:r>
          </w:p>
        </w:tc>
        <w:tc>
          <w:tcPr>
            <w:tcW w:type="dxa" w:w="4200"/>
            <w:tcBorders>
              <w:top w:val="none" w:color="FFFFFF" w:sz="0"/>
              <w:left w:val="none" w:color="FFFFFF" w:sz="0"/>
              <w:bottom w:val="none" w:color="FFFFFF" w:sz="0"/>
              <w:right w:val="none" w:color="FFFFFF" w:sz="0"/>
            </w:tcBorders>
            <w:shd w:fill="2E5F3E" w:val="clear"/>
            <w:tcMar>
              <w:top w:type="dxa" w:w="100"/>
              <w:left w:type="dxa" w:w="160"/>
              <w:bottom w:type="dxa" w:w="80"/>
              <w:right w:type="dxa" w:w="120"/>
            </w:tcMar>
          </w:tcPr>
          <w:p>
            <w:r>
              <w:rPr>
                <w:rFonts w:ascii="Arial" w:cs="Arial" w:eastAsia="Arial" w:hAnsi="Arial"/>
                <w:b/>
                <w:bCs/>
                <w:color w:val="FFFFFF"/>
                <w:sz w:val="23"/>
                <w:szCs w:val="23"/>
              </w:rPr>
              <w:t xml:space="preserve">Leadership and Self-Deception</w:t>
            </w:r>
          </w:p>
          <w:p>
            <w:pPr>
              <w:spacing w:before="30"/>
            </w:pPr>
            <w:r>
              <w:rPr>
                <w:rFonts w:ascii="Arial" w:cs="Arial" w:eastAsia="Arial" w:hAnsi="Arial"/>
                <w:i/>
                <w:iCs/>
                <w:color w:val="D0DCE8"/>
                <w:sz w:val="19"/>
                <w:szCs w:val="19"/>
              </w:rPr>
              <w:t xml:space="preserve">The Arbinger Institute</w:t>
            </w:r>
          </w:p>
        </w:tc>
        <w:tc>
          <w:tcPr>
            <w:tcW w:type="dxa" w:w="4560"/>
            <w:tcBorders>
              <w:top w:val="none" w:color="FFFFFF" w:sz="0"/>
              <w:left w:val="none" w:color="FFFFFF" w:sz="0"/>
              <w:bottom w:val="none" w:color="FFFFFF" w:sz="0"/>
              <w:right w:val="none" w:color="FFFFFF" w:sz="0"/>
            </w:tcBorders>
            <w:shd w:fill="2E5F3E"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(see Foundational Canon)</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Already in the Foundational Canon. Listed here to note that it serves the leadership canon equally — not just as a transition text but as a diagnostic every leader needs regardless of whether they are transitioning. The Arbinger framework is one of the few leadership models that begins with self-examination rather than technique, which makes it essential to this platform's character-first approach.</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Identity • Accountability • Character • Trust</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Leadership Foundations • Identity Beyond Rank</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Cross-listed. Already in Foundational Canon — develop there.</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3A1C" w:val="clear"/>
            <w:tcMar>
              <w:top w:type="dxa" w:w="140"/>
              <w:left w:type="dxa" w:w="240"/>
              <w:bottom w:type="dxa" w:w="100"/>
              <w:right w:type="dxa" w:w="240"/>
            </w:tcMar>
          </w:tcPr>
          <w:p>
            <w:r>
              <w:rPr>
                <w:rFonts w:ascii="Arial" w:cs="Arial" w:eastAsia="Arial" w:hAnsi="Arial"/>
                <w:b/>
                <w:bCs/>
                <w:color w:val="FFFFFF"/>
                <w:sz w:val="30"/>
                <w:szCs w:val="30"/>
              </w:rPr>
              <w:t xml:space="preserve">Section 3: Core Transition Canon</w:t>
            </w:r>
          </w:p>
          <w:p>
            <w:pPr>
              <w:spacing w:before="40"/>
            </w:pPr>
            <w:r>
              <w:rPr>
                <w:rFonts w:ascii="Arial" w:cs="Arial" w:eastAsia="Arial" w:hAnsi="Arial"/>
                <w:i/>
                <w:iCs/>
                <w:color w:val="D0DCE8"/>
                <w:sz w:val="20"/>
                <w:szCs w:val="20"/>
              </w:rPr>
              <w:t xml:space="preserve">Books that speak most directly to the experience of military separation, retirement, and reinvention</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The Core Transition Canon is where the platform's mission is most directly expressed. These books address the reader who is not simply interested in leadership — they are trying to figure out what comes next. Several of these titles are less philosophically sophisticated than the Foundational Canon, but they earn their place by speaking most directly to the practical and emotional experience of leaving service and beginning again.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8B3A1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A</w:t>
            </w:r>
          </w:p>
        </w:tc>
        <w:tc>
          <w:tcPr>
            <w:tcW w:type="dxa" w:w="4200"/>
            <w:tcBorders>
              <w:top w:val="none" w:color="FFFFFF" w:sz="0"/>
              <w:left w:val="none" w:color="FFFFFF" w:sz="0"/>
              <w:bottom w:val="none" w:color="FFFFFF" w:sz="0"/>
              <w:right w:val="none" w:color="FFFFFF" w:sz="0"/>
            </w:tcBorders>
            <w:shd w:fill="8B3A1C" w:val="clear"/>
            <w:tcMar>
              <w:top w:type="dxa" w:w="100"/>
              <w:left w:type="dxa" w:w="160"/>
              <w:bottom w:type="dxa" w:w="80"/>
              <w:right w:type="dxa" w:w="120"/>
            </w:tcMar>
          </w:tcPr>
          <w:p>
            <w:r>
              <w:rPr>
                <w:rFonts w:ascii="Arial" w:cs="Arial" w:eastAsia="Arial" w:hAnsi="Arial"/>
                <w:b/>
                <w:bCs/>
                <w:color w:val="FFFFFF"/>
                <w:sz w:val="23"/>
                <w:szCs w:val="23"/>
              </w:rPr>
              <w:t xml:space="preserve">The Infinite Game</w:t>
            </w:r>
          </w:p>
          <w:p>
            <w:pPr>
              <w:spacing w:before="30"/>
            </w:pPr>
            <w:r>
              <w:rPr>
                <w:rFonts w:ascii="Arial" w:cs="Arial" w:eastAsia="Arial" w:hAnsi="Arial"/>
                <w:i/>
                <w:iCs/>
                <w:color w:val="D0DCE8"/>
                <w:sz w:val="19"/>
                <w:szCs w:val="19"/>
              </w:rPr>
              <w:t xml:space="preserve">Simon Sinek</w:t>
            </w:r>
          </w:p>
        </w:tc>
        <w:tc>
          <w:tcPr>
            <w:tcW w:type="dxa" w:w="4560"/>
            <w:tcBorders>
              <w:top w:val="none" w:color="FFFFFF" w:sz="0"/>
              <w:left w:val="none" w:color="FFFFFF" w:sz="0"/>
              <w:bottom w:val="none" w:color="FFFFFF" w:sz="0"/>
              <w:right w:val="none" w:color="FFFFFF" w:sz="0"/>
            </w:tcBorders>
            <w:shd w:fill="8B3A1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third book in the Sinek arc (Start With Why → Leaders Eat Last → The Infinite Game), and the one that most directly addresses how to think about legacy and long-term purpose. For the reader who has spent a career measured by promotion timelines, fitness reports, and finite objectives, the shift to infinite-game thinking — building something that outlasts the career — is one of the most liberating and disorienting reorientations of retirement. This book names that shift and gives it a framework.</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Legacy • Purpose • Leadership • Meaning</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Finding Purpose After Service • Preparing for Retirement • Identity Beyond Rank • Command Leadership</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Best developed after Start With Why and Leaders Eat Last are live. The three-book arc is one of the platform's most valuable reading sequences.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8B3A1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B</w:t>
            </w:r>
          </w:p>
        </w:tc>
        <w:tc>
          <w:tcPr>
            <w:tcW w:type="dxa" w:w="4200"/>
            <w:tcBorders>
              <w:top w:val="none" w:color="FFFFFF" w:sz="0"/>
              <w:left w:val="none" w:color="FFFFFF" w:sz="0"/>
              <w:bottom w:val="none" w:color="FFFFFF" w:sz="0"/>
              <w:right w:val="none" w:color="FFFFFF" w:sz="0"/>
            </w:tcBorders>
            <w:shd w:fill="8B3A1C" w:val="clear"/>
            <w:tcMar>
              <w:top w:type="dxa" w:w="100"/>
              <w:left w:type="dxa" w:w="160"/>
              <w:bottom w:type="dxa" w:w="80"/>
              <w:right w:type="dxa" w:w="120"/>
            </w:tcMar>
          </w:tcPr>
          <w:p>
            <w:r>
              <w:rPr>
                <w:rFonts w:ascii="Arial" w:cs="Arial" w:eastAsia="Arial" w:hAnsi="Arial"/>
                <w:b/>
                <w:bCs/>
                <w:color w:val="FFFFFF"/>
                <w:sz w:val="23"/>
                <w:szCs w:val="23"/>
              </w:rPr>
              <w:t xml:space="preserve">The First 90 Days</w:t>
            </w:r>
          </w:p>
          <w:p>
            <w:pPr>
              <w:spacing w:before="30"/>
            </w:pPr>
            <w:r>
              <w:rPr>
                <w:rFonts w:ascii="Arial" w:cs="Arial" w:eastAsia="Arial" w:hAnsi="Arial"/>
                <w:i/>
                <w:iCs/>
                <w:color w:val="D0DCE8"/>
                <w:sz w:val="19"/>
                <w:szCs w:val="19"/>
              </w:rPr>
              <w:t xml:space="preserve">Michael Watkins</w:t>
            </w:r>
          </w:p>
        </w:tc>
        <w:tc>
          <w:tcPr>
            <w:tcW w:type="dxa" w:w="4560"/>
            <w:tcBorders>
              <w:top w:val="none" w:color="FFFFFF" w:sz="0"/>
              <w:left w:val="none" w:color="FFFFFF" w:sz="0"/>
              <w:bottom w:val="none" w:color="FFFFFF" w:sz="0"/>
              <w:right w:val="none" w:color="FFFFFF" w:sz="0"/>
            </w:tcBorders>
            <w:shd w:fill="8B3A1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practically indispensable transition book in the library. While the Foundational Canon books address who you are becoming, The First 90 Days addresses what to do next week. It is the bridge between internal preparation and external execution, and it belongs in the transition canon because many military leaders arrive at civilian employment without the onboarding frameworks that civilian professionals take for granted. This is the book that reduces the cost of not knowing what you don't know.</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Adaptability • Leadership • Reinvention</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Building a Second Career • Preparing for Retirement • Leading Through Uncertainty</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The commentary should specifically address the translation of military onboarding behaviors — briefings, battle rhythms, command climate — into civilian equivalents. That translation is unique to this platform.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8B3A1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C</w:t>
            </w:r>
          </w:p>
        </w:tc>
        <w:tc>
          <w:tcPr>
            <w:tcW w:type="dxa" w:w="4200"/>
            <w:tcBorders>
              <w:top w:val="none" w:color="FFFFFF" w:sz="0"/>
              <w:left w:val="none" w:color="FFFFFF" w:sz="0"/>
              <w:bottom w:val="none" w:color="FFFFFF" w:sz="0"/>
              <w:right w:val="none" w:color="FFFFFF" w:sz="0"/>
            </w:tcBorders>
            <w:shd w:fill="8B3A1C" w:val="clear"/>
            <w:tcMar>
              <w:top w:type="dxa" w:w="100"/>
              <w:left w:type="dxa" w:w="160"/>
              <w:bottom w:type="dxa" w:w="80"/>
              <w:right w:type="dxa" w:w="120"/>
            </w:tcMar>
          </w:tcPr>
          <w:p>
            <w:r>
              <w:rPr>
                <w:rFonts w:ascii="Arial" w:cs="Arial" w:eastAsia="Arial" w:hAnsi="Arial"/>
                <w:b/>
                <w:bCs/>
                <w:color w:val="FFFFFF"/>
                <w:sz w:val="23"/>
                <w:szCs w:val="23"/>
              </w:rPr>
              <w:t xml:space="preserve">Essentialism</w:t>
            </w:r>
          </w:p>
          <w:p>
            <w:pPr>
              <w:spacing w:before="30"/>
            </w:pPr>
            <w:r>
              <w:rPr>
                <w:rFonts w:ascii="Arial" w:cs="Arial" w:eastAsia="Arial" w:hAnsi="Arial"/>
                <w:i/>
                <w:iCs/>
                <w:color w:val="D0DCE8"/>
                <w:sz w:val="19"/>
                <w:szCs w:val="19"/>
              </w:rPr>
              <w:t xml:space="preserve">Greg McKeown</w:t>
            </w:r>
          </w:p>
        </w:tc>
        <w:tc>
          <w:tcPr>
            <w:tcW w:type="dxa" w:w="4560"/>
            <w:tcBorders>
              <w:top w:val="none" w:color="FFFFFF" w:sz="0"/>
              <w:left w:val="none" w:color="FFFFFF" w:sz="0"/>
              <w:bottom w:val="none" w:color="FFFFFF" w:sz="0"/>
              <w:right w:val="none" w:color="FFFFFF" w:sz="0"/>
            </w:tcBorders>
            <w:shd w:fill="8B3A1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One of the most underrated books for the retirement transition. The initial post-retirement period is defined not by lack of options but by too many — consulting offers, board invitations, second career paths, volunteer commitments, family demands. Essentialism is the framework for deciding what actually deserves the next chapter of a leader's life. It belongs in the transition canon because the discipline of elimination is often harder for high-achievers than the discipline of effort.</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Purpose • Adaptability • Identity • Meaning</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Preparing for Retirement • Finding Purpose After Service • Building a Second Career</w:t>
            </w:r>
          </w:p>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8B3A1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D</w:t>
            </w:r>
          </w:p>
        </w:tc>
        <w:tc>
          <w:tcPr>
            <w:tcW w:type="dxa" w:w="4200"/>
            <w:tcBorders>
              <w:top w:val="none" w:color="FFFFFF" w:sz="0"/>
              <w:left w:val="none" w:color="FFFFFF" w:sz="0"/>
              <w:bottom w:val="none" w:color="FFFFFF" w:sz="0"/>
              <w:right w:val="none" w:color="FFFFFF" w:sz="0"/>
            </w:tcBorders>
            <w:shd w:fill="8B3A1C" w:val="clear"/>
            <w:tcMar>
              <w:top w:type="dxa" w:w="100"/>
              <w:left w:type="dxa" w:w="160"/>
              <w:bottom w:type="dxa" w:w="80"/>
              <w:right w:type="dxa" w:w="120"/>
            </w:tcMar>
          </w:tcPr>
          <w:p>
            <w:r>
              <w:rPr>
                <w:rFonts w:ascii="Arial" w:cs="Arial" w:eastAsia="Arial" w:hAnsi="Arial"/>
                <w:b/>
                <w:bCs/>
                <w:color w:val="FFFFFF"/>
                <w:sz w:val="23"/>
                <w:szCs w:val="23"/>
              </w:rPr>
              <w:t xml:space="preserve">How to Lead When You're Not in Charge</w:t>
            </w:r>
          </w:p>
          <w:p>
            <w:pPr>
              <w:spacing w:before="30"/>
            </w:pPr>
            <w:r>
              <w:rPr>
                <w:rFonts w:ascii="Arial" w:cs="Arial" w:eastAsia="Arial" w:hAnsi="Arial"/>
                <w:i/>
                <w:iCs/>
                <w:color w:val="D0DCE8"/>
                <w:sz w:val="19"/>
                <w:szCs w:val="19"/>
              </w:rPr>
              <w:t xml:space="preserve">Clay Scroggins</w:t>
            </w:r>
          </w:p>
        </w:tc>
        <w:tc>
          <w:tcPr>
            <w:tcW w:type="dxa" w:w="4560"/>
            <w:tcBorders>
              <w:top w:val="none" w:color="FFFFFF" w:sz="0"/>
              <w:left w:val="none" w:color="FFFFFF" w:sz="0"/>
              <w:bottom w:val="none" w:color="FFFFFF" w:sz="0"/>
              <w:right w:val="none" w:color="FFFFFF" w:sz="0"/>
            </w:tcBorders>
            <w:shd w:fill="8B3A1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direct treatment of the authority loss that military leaders experience in transition. Going from a command where authority flows from rank to an organization where influence must be earned through relationships and demonstrated competence is one of the hardest practical adjustments of civilian integration. Scroggins names this experience without condescension and offers a framework for leading with integrity from any position. This book belongs in the transition canon because it normalizes a disorienting experience.</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Service • Identity • Leadership • Adaptability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Building a Second Career • Finding Purpose After Service</w:t>
            </w:r>
          </w:p>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8B3A1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E</w:t>
            </w:r>
          </w:p>
        </w:tc>
        <w:tc>
          <w:tcPr>
            <w:tcW w:type="dxa" w:w="4200"/>
            <w:tcBorders>
              <w:top w:val="none" w:color="FFFFFF" w:sz="0"/>
              <w:left w:val="none" w:color="FFFFFF" w:sz="0"/>
              <w:bottom w:val="none" w:color="FFFFFF" w:sz="0"/>
              <w:right w:val="none" w:color="FFFFFF" w:sz="0"/>
            </w:tcBorders>
            <w:shd w:fill="8B3A1C" w:val="clear"/>
            <w:tcMar>
              <w:top w:type="dxa" w:w="100"/>
              <w:left w:type="dxa" w:w="160"/>
              <w:bottom w:type="dxa" w:w="80"/>
              <w:right w:type="dxa" w:w="120"/>
            </w:tcMar>
          </w:tcPr>
          <w:p>
            <w:r>
              <w:rPr>
                <w:rFonts w:ascii="Arial" w:cs="Arial" w:eastAsia="Arial" w:hAnsi="Arial"/>
                <w:b/>
                <w:bCs/>
                <w:color w:val="FFFFFF"/>
                <w:sz w:val="23"/>
                <w:szCs w:val="23"/>
              </w:rPr>
              <w:t xml:space="preserve">Mindset</w:t>
            </w:r>
          </w:p>
          <w:p>
            <w:pPr>
              <w:spacing w:before="30"/>
            </w:pPr>
            <w:r>
              <w:rPr>
                <w:rFonts w:ascii="Arial" w:cs="Arial" w:eastAsia="Arial" w:hAnsi="Arial"/>
                <w:i/>
                <w:iCs/>
                <w:color w:val="D0DCE8"/>
                <w:sz w:val="19"/>
                <w:szCs w:val="19"/>
              </w:rPr>
              <w:t xml:space="preserve">Carol Dweck</w:t>
            </w:r>
          </w:p>
        </w:tc>
        <w:tc>
          <w:tcPr>
            <w:tcW w:type="dxa" w:w="4560"/>
            <w:tcBorders>
              <w:top w:val="none" w:color="FFFFFF" w:sz="0"/>
              <w:left w:val="none" w:color="FFFFFF" w:sz="0"/>
              <w:bottom w:val="none" w:color="FFFFFF" w:sz="0"/>
              <w:right w:val="none" w:color="FFFFFF" w:sz="0"/>
            </w:tcBorders>
            <w:shd w:fill="8B3A1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cognitive foundation of the entire transition effort. Whether a military leader successfully reinvents themselves depends less on their resumé than on whether they approach the transition with a fixed mindset (I am what my rank said I was) or a growth mindset (I am becoming someone I haven't been yet). Dweck's research gives the transition reader the most evidence-based permission available to treat the next chapter as a learning environment rather than a performance evaluation. It is also the essential text for any leader who intends to develop others.</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Adaptability • Resilience • Mentorship • Identity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Personal Growth &amp; Reflection • Resilience Under Pressure • Developing Future Leaders • Preparing for Retirement</w:t>
            </w:r>
          </w:p>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2E5C" w:val="clear"/>
            <w:tcMar>
              <w:top w:type="dxa" w:w="140"/>
              <w:left w:type="dxa" w:w="240"/>
              <w:bottom w:type="dxa" w:w="100"/>
              <w:right w:type="dxa" w:w="240"/>
            </w:tcMar>
          </w:tcPr>
          <w:p>
            <w:r>
              <w:rPr>
                <w:rFonts w:ascii="Arial" w:cs="Arial" w:eastAsia="Arial" w:hAnsi="Arial"/>
                <w:b/>
                <w:bCs/>
                <w:color w:val="FFFFFF"/>
                <w:sz w:val="30"/>
                <w:szCs w:val="30"/>
              </w:rPr>
              <w:t xml:space="preserve">Section 4: Philosophy &amp; Meaning Canon</w:t>
            </w:r>
          </w:p>
          <w:p>
            <w:pPr>
              <w:spacing w:before="40"/>
            </w:pPr>
            <w:r>
              <w:rPr>
                <w:rFonts w:ascii="Arial" w:cs="Arial" w:eastAsia="Arial" w:hAnsi="Arial"/>
                <w:i/>
                <w:iCs/>
                <w:color w:val="D0DCE8"/>
                <w:sz w:val="20"/>
                <w:szCs w:val="20"/>
              </w:rPr>
              <w:t xml:space="preserve">Books that provide the deepest intellectual and existential foundation for the platform</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The Philosophy &amp; Meaning Canon is what separates Leadership Through Transition from every other military transition resource. Most transition resources are practical — resumé writing, network building, interview preparation. This platform is built on the conviction that the deepest transition questions are philosophical before they are practical: Who am I without the uniform? What am I for now? What have I learned that is worth passing on?</w:t>
      </w:r>
    </w:p>
    <w:p>
      <w:pPr>
        <w:spacing w:after="60" w:before="60"/>
      </w:pPr>
      <w:r>
        <w:rPr>
          <w:rFonts w:ascii="Arial" w:cs="Arial" w:eastAsia="Arial" w:hAnsi="Arial"/>
          <w:b w:val="false"/>
          <w:bCs w:val="false"/>
          <w:i w:val="false"/>
          <w:iCs w:val="false"/>
          <w:color w:val="1A1A1A"/>
          <w:sz w:val="21"/>
          <w:szCs w:val="21"/>
        </w:rPr>
        <w:t xml:space="preserve">These books give those questions their most serious treatment. Several are demanding. Some have been read for two thousand years. They belong in the canon not because they are required reading but because they represent the intellectual standard the platform aspires to — the kind of thinking that produces lasting clarity rather than temporary motivation.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4A2E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A</w:t>
            </w:r>
          </w:p>
        </w:tc>
        <w:tc>
          <w:tcPr>
            <w:tcW w:type="dxa" w:w="4200"/>
            <w:tcBorders>
              <w:top w:val="none" w:color="FFFFFF" w:sz="0"/>
              <w:left w:val="none" w:color="FFFFFF" w:sz="0"/>
              <w:bottom w:val="none" w:color="FFFFFF" w:sz="0"/>
              <w:right w:val="none" w:color="FFFFFF" w:sz="0"/>
            </w:tcBorders>
            <w:shd w:fill="4A2E5C" w:val="clear"/>
            <w:tcMar>
              <w:top w:type="dxa" w:w="100"/>
              <w:left w:type="dxa" w:w="160"/>
              <w:bottom w:type="dxa" w:w="80"/>
              <w:right w:type="dxa" w:w="120"/>
            </w:tcMar>
          </w:tcPr>
          <w:p>
            <w:r>
              <w:rPr>
                <w:rFonts w:ascii="Arial" w:cs="Arial" w:eastAsia="Arial" w:hAnsi="Arial"/>
                <w:b/>
                <w:bCs/>
                <w:color w:val="FFFFFF"/>
                <w:sz w:val="23"/>
                <w:szCs w:val="23"/>
              </w:rPr>
              <w:t xml:space="preserve">Man's Search for Meaning</w:t>
            </w:r>
          </w:p>
          <w:p>
            <w:pPr>
              <w:spacing w:before="30"/>
            </w:pPr>
            <w:r>
              <w:rPr>
                <w:rFonts w:ascii="Arial" w:cs="Arial" w:eastAsia="Arial" w:hAnsi="Arial"/>
                <w:i/>
                <w:iCs/>
                <w:color w:val="D0DCE8"/>
                <w:sz w:val="19"/>
                <w:szCs w:val="19"/>
              </w:rPr>
              <w:t xml:space="preserve">Viktor Frankl</w:t>
            </w:r>
          </w:p>
        </w:tc>
        <w:tc>
          <w:tcPr>
            <w:tcW w:type="dxa" w:w="4560"/>
            <w:tcBorders>
              <w:top w:val="none" w:color="FFFFFF" w:sz="0"/>
              <w:left w:val="none" w:color="FFFFFF" w:sz="0"/>
              <w:bottom w:val="none" w:color="FFFFFF" w:sz="0"/>
              <w:right w:val="none" w:color="FFFFFF" w:sz="0"/>
            </w:tcBorders>
            <w:shd w:fill="4A2E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(see Foundational Canon)</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Already in the Foundational Canon and listed first here because it is the canonical philosophy and meaning text of the library without contest. No other book in the collection addresses the relationship between suffering, identity, and purpose with this directness or this authority. Cross-listed to confirm its dual status.</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Meaning • Purpose • Identity • Resilience • Character</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Finding Purpose After Service • Identity Beyond Rank • Resilience Under Pressure</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Cross-listed. Develop in the Foundational Canon first.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4A2E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B</w:t>
            </w:r>
          </w:p>
        </w:tc>
        <w:tc>
          <w:tcPr>
            <w:tcW w:type="dxa" w:w="4200"/>
            <w:tcBorders>
              <w:top w:val="none" w:color="FFFFFF" w:sz="0"/>
              <w:left w:val="none" w:color="FFFFFF" w:sz="0"/>
              <w:bottom w:val="none" w:color="FFFFFF" w:sz="0"/>
              <w:right w:val="none" w:color="FFFFFF" w:sz="0"/>
            </w:tcBorders>
            <w:shd w:fill="4A2E5C" w:val="clear"/>
            <w:tcMar>
              <w:top w:type="dxa" w:w="100"/>
              <w:left w:type="dxa" w:w="160"/>
              <w:bottom w:type="dxa" w:w="80"/>
              <w:right w:type="dxa" w:w="120"/>
            </w:tcMar>
          </w:tcPr>
          <w:p>
            <w:r>
              <w:rPr>
                <w:rFonts w:ascii="Arial" w:cs="Arial" w:eastAsia="Arial" w:hAnsi="Arial"/>
                <w:b/>
                <w:bCs/>
                <w:color w:val="FFFFFF"/>
                <w:sz w:val="23"/>
                <w:szCs w:val="23"/>
              </w:rPr>
              <w:t xml:space="preserve">Meditations</w:t>
            </w:r>
          </w:p>
          <w:p>
            <w:pPr>
              <w:spacing w:before="30"/>
            </w:pPr>
            <w:r>
              <w:rPr>
                <w:rFonts w:ascii="Arial" w:cs="Arial" w:eastAsia="Arial" w:hAnsi="Arial"/>
                <w:i/>
                <w:iCs/>
                <w:color w:val="D0DCE8"/>
                <w:sz w:val="19"/>
                <w:szCs w:val="19"/>
              </w:rPr>
              <w:t xml:space="preserve">Marcus Aurelius</w:t>
            </w:r>
          </w:p>
        </w:tc>
        <w:tc>
          <w:tcPr>
            <w:tcW w:type="dxa" w:w="4560"/>
            <w:tcBorders>
              <w:top w:val="none" w:color="FFFFFF" w:sz="0"/>
              <w:left w:val="none" w:color="FFFFFF" w:sz="0"/>
              <w:bottom w:val="none" w:color="FFFFFF" w:sz="0"/>
              <w:right w:val="none" w:color="FFFFFF" w:sz="0"/>
            </w:tcBorders>
            <w:shd w:fill="4A2E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(see Foundational Canon)</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Cross-listed from the Foundational Canon. The Philosophy &amp; Meaning designation is important here because Meditations is not just a philosophy text — it is the philosophical practice that the entire Stoic tradition in this library flows from. It should be the first philosophical text developed, and its entry should set the standard for how philosophical depth is handled across the platform.</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Character • Resilience • Meaning • Purpose • Identity • Service</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Personal Growth &amp; Reflection • Identity Beyond Rank • Resilience Under Pressure</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Cross-listed. Develop in the Foundational Canon first.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4A2E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C</w:t>
            </w:r>
          </w:p>
        </w:tc>
        <w:tc>
          <w:tcPr>
            <w:tcW w:type="dxa" w:w="4200"/>
            <w:tcBorders>
              <w:top w:val="none" w:color="FFFFFF" w:sz="0"/>
              <w:left w:val="none" w:color="FFFFFF" w:sz="0"/>
              <w:bottom w:val="none" w:color="FFFFFF" w:sz="0"/>
              <w:right w:val="none" w:color="FFFFFF" w:sz="0"/>
            </w:tcBorders>
            <w:shd w:fill="4A2E5C" w:val="clear"/>
            <w:tcMar>
              <w:top w:type="dxa" w:w="100"/>
              <w:left w:type="dxa" w:w="160"/>
              <w:bottom w:type="dxa" w:w="80"/>
              <w:right w:type="dxa" w:w="120"/>
            </w:tcMar>
          </w:tcPr>
          <w:p>
            <w:r>
              <w:rPr>
                <w:rFonts w:ascii="Arial" w:cs="Arial" w:eastAsia="Arial" w:hAnsi="Arial"/>
                <w:b/>
                <w:bCs/>
                <w:color w:val="FFFFFF"/>
                <w:sz w:val="23"/>
                <w:szCs w:val="23"/>
              </w:rPr>
              <w:t xml:space="preserve">The Analects of Confucius</w:t>
            </w:r>
          </w:p>
          <w:p>
            <w:pPr>
              <w:spacing w:before="30"/>
            </w:pPr>
            <w:r>
              <w:rPr>
                <w:rFonts w:ascii="Arial" w:cs="Arial" w:eastAsia="Arial" w:hAnsi="Arial"/>
                <w:i/>
                <w:iCs/>
                <w:color w:val="D0DCE8"/>
                <w:sz w:val="19"/>
                <w:szCs w:val="19"/>
              </w:rPr>
              <w:t xml:space="preserve">Confucius</w:t>
            </w:r>
          </w:p>
        </w:tc>
        <w:tc>
          <w:tcPr>
            <w:tcW w:type="dxa" w:w="4560"/>
            <w:tcBorders>
              <w:top w:val="none" w:color="FFFFFF" w:sz="0"/>
              <w:left w:val="none" w:color="FFFFFF" w:sz="0"/>
              <w:bottom w:val="none" w:color="FFFFFF" w:sz="0"/>
              <w:right w:val="none" w:color="FFFFFF" w:sz="0"/>
            </w:tcBorders>
            <w:shd w:fill="4A2E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oldest text in the library and the most durable treatment of virtue as daily practice available to Western readers unfamiliar with Eastern philosophy. The Analects belongs in the Philosophy &amp; Meaning Canon because Confucius asks the same question this platform is built around — not 'how do I perform well?' but 'how do I become good?' — and answers it through relationships, duty, and the continuous cultivation of character. For military leaders raised on duty and honor, the Confucian framework is strikingly familiar across a vast cultural and temporal distance.</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Character • Service • Mentorship • Legacy • Meaning</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Personal Growth &amp; Reflection • Identity Beyond Rank • Finding Purpose After Service</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Requires care in presentation — this is the text most likely to feel inaccessible to readers unfamiliar with classical philosophy. The commentary must do the translation work clearly and without condescension.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4A2E5C"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D</w:t>
            </w:r>
          </w:p>
        </w:tc>
        <w:tc>
          <w:tcPr>
            <w:tcW w:type="dxa" w:w="4200"/>
            <w:tcBorders>
              <w:top w:val="none" w:color="FFFFFF" w:sz="0"/>
              <w:left w:val="none" w:color="FFFFFF" w:sz="0"/>
              <w:bottom w:val="none" w:color="FFFFFF" w:sz="0"/>
              <w:right w:val="none" w:color="FFFFFF" w:sz="0"/>
            </w:tcBorders>
            <w:shd w:fill="4A2E5C" w:val="clear"/>
            <w:tcMar>
              <w:top w:type="dxa" w:w="100"/>
              <w:left w:type="dxa" w:w="160"/>
              <w:bottom w:type="dxa" w:w="80"/>
              <w:right w:type="dxa" w:w="120"/>
            </w:tcMar>
          </w:tcPr>
          <w:p>
            <w:r>
              <w:rPr>
                <w:rFonts w:ascii="Arial" w:cs="Arial" w:eastAsia="Arial" w:hAnsi="Arial"/>
                <w:b/>
                <w:bCs/>
                <w:color w:val="FFFFFF"/>
                <w:sz w:val="23"/>
                <w:szCs w:val="23"/>
              </w:rPr>
              <w:t xml:space="preserve">Beyond Good and Evil</w:t>
            </w:r>
          </w:p>
          <w:p>
            <w:pPr>
              <w:spacing w:before="30"/>
            </w:pPr>
            <w:r>
              <w:rPr>
                <w:rFonts w:ascii="Arial" w:cs="Arial" w:eastAsia="Arial" w:hAnsi="Arial"/>
                <w:i/>
                <w:iCs/>
                <w:color w:val="D0DCE8"/>
                <w:sz w:val="19"/>
                <w:szCs w:val="19"/>
              </w:rPr>
              <w:t xml:space="preserve">Friedrich Nietzsche</w:t>
            </w:r>
          </w:p>
        </w:tc>
        <w:tc>
          <w:tcPr>
            <w:tcW w:type="dxa" w:w="4560"/>
            <w:tcBorders>
              <w:top w:val="none" w:color="FFFFFF" w:sz="0"/>
              <w:left w:val="none" w:color="FFFFFF" w:sz="0"/>
              <w:bottom w:val="none" w:color="FFFFFF" w:sz="0"/>
              <w:right w:val="none" w:color="FFFFFF" w:sz="0"/>
            </w:tcBorders>
            <w:shd w:fill="4A2E5C"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3</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most demanding and most philosophically provocative text in the library. Nietzsche does not offer comfort — he challenges the reader to examine the foundations of their values rather than assume them. For military leaders who have operated within a strong institutional value system, that challenge is simultaneously uncomfortable and liberating. Beyond Good and Evil belongs in the Philosophy &amp; Meaning Canon because the transition reader who is ready for it — usually after working through the Stoic cluster — will find in it the most rigorous call to self-authorship in the collection.</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Identity • Meaning • Character • Purpose</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Personal Growth &amp; Reflection • Identity Beyond Rank</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This is the library's most challenging text. Develop it after the Stoic cluster is established. The commentary must contextualize Nietzsche without sanitizing him — readers deserve the real argument.</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5C5A" w:val="clear"/>
            <w:tcMar>
              <w:top w:type="dxa" w:w="140"/>
              <w:left w:type="dxa" w:w="240"/>
              <w:bottom w:type="dxa" w:w="100"/>
              <w:right w:type="dxa" w:w="240"/>
            </w:tcMar>
          </w:tcPr>
          <w:p>
            <w:r>
              <w:rPr>
                <w:rFonts w:ascii="Arial" w:cs="Arial" w:eastAsia="Arial" w:hAnsi="Arial"/>
                <w:b/>
                <w:bCs/>
                <w:color w:val="FFFFFF"/>
                <w:sz w:val="30"/>
                <w:szCs w:val="30"/>
              </w:rPr>
              <w:t xml:space="preserve">Section 5: Military Leadership Canon</w:t>
            </w:r>
          </w:p>
          <w:p>
            <w:pPr>
              <w:spacing w:before="40"/>
            </w:pPr>
            <w:r>
              <w:rPr>
                <w:rFonts w:ascii="Arial" w:cs="Arial" w:eastAsia="Arial" w:hAnsi="Arial"/>
                <w:i/>
                <w:iCs/>
                <w:color w:val="D0DCE8"/>
                <w:sz w:val="20"/>
                <w:szCs w:val="20"/>
              </w:rPr>
              <w:t xml:space="preserve">Books that speak from within military culture and carry inherent credibility with the primary reader</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The Military Leadership Canon is not simply books written by military leaders. It is books that speak from within the experience of military culture and use that experience to illuminate principles that transcend it. These books earn instant credibility with the primary reader because they speak the reader's language — not as cultural performance but because their insights were forged in the environments the reader knows.</w:t>
      </w:r>
    </w:p>
    <w:p>
      <w:pPr>
        <w:spacing w:after="60" w:before="60"/>
      </w:pPr>
      <w:r>
        <w:rPr>
          <w:rFonts w:ascii="Arial" w:cs="Arial" w:eastAsia="Arial" w:hAnsi="Arial"/>
          <w:b w:val="false"/>
          <w:bCs w:val="false"/>
          <w:i w:val="false"/>
          <w:iCs w:val="false"/>
          <w:color w:val="1A1A1A"/>
          <w:sz w:val="21"/>
          <w:szCs w:val="21"/>
        </w:rPr>
        <w:t xml:space="preserve">The platform's voice is that of a naval officer. These books reinforce and extend that voice. They should be developed with particular care to avoid becoming war-story collections — the goal is always leadership insight, not narrative entertainment.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C5C5A"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A</w:t>
            </w:r>
          </w:p>
        </w:tc>
        <w:tc>
          <w:tcPr>
            <w:tcW w:type="dxa" w:w="4200"/>
            <w:tcBorders>
              <w:top w:val="none" w:color="FFFFFF" w:sz="0"/>
              <w:left w:val="none" w:color="FFFFFF" w:sz="0"/>
              <w:bottom w:val="none" w:color="FFFFFF" w:sz="0"/>
              <w:right w:val="none" w:color="FFFFFF" w:sz="0"/>
            </w:tcBorders>
            <w:shd w:fill="1C5C5A" w:val="clear"/>
            <w:tcMar>
              <w:top w:type="dxa" w:w="100"/>
              <w:left w:type="dxa" w:w="160"/>
              <w:bottom w:type="dxa" w:w="80"/>
              <w:right w:type="dxa" w:w="120"/>
            </w:tcMar>
          </w:tcPr>
          <w:p>
            <w:r>
              <w:rPr>
                <w:rFonts w:ascii="Arial" w:cs="Arial" w:eastAsia="Arial" w:hAnsi="Arial"/>
                <w:b/>
                <w:bCs/>
                <w:color w:val="FFFFFF"/>
                <w:sz w:val="23"/>
                <w:szCs w:val="23"/>
              </w:rPr>
              <w:t xml:space="preserve">Extreme Ownership</w:t>
            </w:r>
          </w:p>
          <w:p>
            <w:pPr>
              <w:spacing w:before="30"/>
            </w:pPr>
            <w:r>
              <w:rPr>
                <w:rFonts w:ascii="Arial" w:cs="Arial" w:eastAsia="Arial" w:hAnsi="Arial"/>
                <w:i/>
                <w:iCs/>
                <w:color w:val="D0DCE8"/>
                <w:sz w:val="19"/>
                <w:szCs w:val="19"/>
              </w:rPr>
              <w:t xml:space="preserve">Jocko Willink, Leif Babin</w:t>
            </w:r>
          </w:p>
        </w:tc>
        <w:tc>
          <w:tcPr>
            <w:tcW w:type="dxa" w:w="4560"/>
            <w:tcBorders>
              <w:top w:val="none" w:color="FFFFFF" w:sz="0"/>
              <w:left w:val="none" w:color="FFFFFF" w:sz="0"/>
              <w:bottom w:val="none" w:color="FFFFFF" w:sz="0"/>
              <w:right w:val="none" w:color="FFFFFF" w:sz="0"/>
            </w:tcBorders>
            <w:shd w:fill="1C5C5A"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(see Foundational Canon)</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Cross-listed from the Foundational Canon. The Military Leadership Canon designation confirms Extreme Ownership as the platform's primary military credibility anchor. It earns the reader's trust before asking them to engage with texts they may find less immediately recognizable. Develops alongside the foundational books.</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Accountability • Leadership • Service • Trust</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Leadership Foundations • Command Leadership • Building a Second Career</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Cross-listed. Develop in the Foundational Canon first.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C5C5A"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B</w:t>
            </w:r>
          </w:p>
        </w:tc>
        <w:tc>
          <w:tcPr>
            <w:tcW w:type="dxa" w:w="4200"/>
            <w:tcBorders>
              <w:top w:val="none" w:color="FFFFFF" w:sz="0"/>
              <w:left w:val="none" w:color="FFFFFF" w:sz="0"/>
              <w:bottom w:val="none" w:color="FFFFFF" w:sz="0"/>
              <w:right w:val="none" w:color="FFFFFF" w:sz="0"/>
            </w:tcBorders>
            <w:shd w:fill="1C5C5A" w:val="clear"/>
            <w:tcMar>
              <w:top w:type="dxa" w:w="100"/>
              <w:left w:type="dxa" w:w="160"/>
              <w:bottom w:type="dxa" w:w="80"/>
              <w:right w:type="dxa" w:w="120"/>
            </w:tcMar>
          </w:tcPr>
          <w:p>
            <w:r>
              <w:rPr>
                <w:rFonts w:ascii="Arial" w:cs="Arial" w:eastAsia="Arial" w:hAnsi="Arial"/>
                <w:b/>
                <w:bCs/>
                <w:color w:val="FFFFFF"/>
                <w:sz w:val="23"/>
                <w:szCs w:val="23"/>
              </w:rPr>
              <w:t xml:space="preserve">Leaders Eat Last</w:t>
            </w:r>
          </w:p>
          <w:p>
            <w:pPr>
              <w:spacing w:before="30"/>
            </w:pPr>
            <w:r>
              <w:rPr>
                <w:rFonts w:ascii="Arial" w:cs="Arial" w:eastAsia="Arial" w:hAnsi="Arial"/>
                <w:i/>
                <w:iCs/>
                <w:color w:val="D0DCE8"/>
                <w:sz w:val="19"/>
                <w:szCs w:val="19"/>
              </w:rPr>
              <w:t xml:space="preserve">Simon Sinek</w:t>
            </w:r>
          </w:p>
        </w:tc>
        <w:tc>
          <w:tcPr>
            <w:tcW w:type="dxa" w:w="4560"/>
            <w:tcBorders>
              <w:top w:val="none" w:color="FFFFFF" w:sz="0"/>
              <w:left w:val="none" w:color="FFFFFF" w:sz="0"/>
              <w:bottom w:val="none" w:color="FFFFFF" w:sz="0"/>
              <w:right w:val="none" w:color="FFFFFF" w:sz="0"/>
            </w:tcBorders>
            <w:shd w:fill="1C5C5A"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1 (see Foundational Canon)</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Cross-listed from the Foundational Canon. Its Military Leadership Canon status reflects Sinek's sustained engagement with military culture — the book draws heavily on Marine Corps examples and uses them to make arguments about belonging and trust that resonate deeply with service members from any branch. Its development should foreground those military examples while building toward broader application.</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Service • Trust • Belonging • Leadership • Purpose</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Identity Beyond Rank • Finding Purpose After Service • Command Leadership</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Cross-listed. Develop in the Foundational Canon first.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C5C5A"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C</w:t>
            </w:r>
          </w:p>
        </w:tc>
        <w:tc>
          <w:tcPr>
            <w:tcW w:type="dxa" w:w="4200"/>
            <w:tcBorders>
              <w:top w:val="none" w:color="FFFFFF" w:sz="0"/>
              <w:left w:val="none" w:color="FFFFFF" w:sz="0"/>
              <w:bottom w:val="none" w:color="FFFFFF" w:sz="0"/>
              <w:right w:val="none" w:color="FFFFFF" w:sz="0"/>
            </w:tcBorders>
            <w:shd w:fill="1C5C5A" w:val="clear"/>
            <w:tcMar>
              <w:top w:type="dxa" w:w="100"/>
              <w:left w:type="dxa" w:w="160"/>
              <w:bottom w:type="dxa" w:w="80"/>
              <w:right w:type="dxa" w:w="120"/>
            </w:tcMar>
          </w:tcPr>
          <w:p>
            <w:r>
              <w:rPr>
                <w:rFonts w:ascii="Arial" w:cs="Arial" w:eastAsia="Arial" w:hAnsi="Arial"/>
                <w:b/>
                <w:bCs/>
                <w:color w:val="FFFFFF"/>
                <w:sz w:val="23"/>
                <w:szCs w:val="23"/>
              </w:rPr>
              <w:t xml:space="preserve">Team of Teams</w:t>
            </w:r>
          </w:p>
          <w:p>
            <w:pPr>
              <w:spacing w:before="30"/>
            </w:pPr>
            <w:r>
              <w:rPr>
                <w:rFonts w:ascii="Arial" w:cs="Arial" w:eastAsia="Arial" w:hAnsi="Arial"/>
                <w:i/>
                <w:iCs/>
                <w:color w:val="D0DCE8"/>
                <w:sz w:val="19"/>
                <w:szCs w:val="19"/>
              </w:rPr>
              <w:t xml:space="preserve">Stanley McChrystal</w:t>
            </w:r>
          </w:p>
        </w:tc>
        <w:tc>
          <w:tcPr>
            <w:tcW w:type="dxa" w:w="4560"/>
            <w:tcBorders>
              <w:top w:val="none" w:color="FFFFFF" w:sz="0"/>
              <w:left w:val="none" w:color="FFFFFF" w:sz="0"/>
              <w:bottom w:val="none" w:color="FFFFFF" w:sz="0"/>
              <w:right w:val="none" w:color="FFFFFF" w:sz="0"/>
            </w:tcBorders>
            <w:shd w:fill="1C5C5A"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only book in the collection written by a senior military officer that addresses organizational transformation at the command level. McChrystal's account of restructuring JSOC is the most directly applicable case study for senior military leaders moving into civilian organizational leadership roles. It belongs in the Military Leadership Canon because it uses genuine military experience to argue for principles — shared consciousness, decentralized trust — that define effective leadership in any complex organization.</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Adaptability • Trust • Leadership • Accountability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Command Leadership • Leadership Foundations • Leading Through Uncertainty</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The commentary should draw explicit connections between McChrystal's JSOC transformation and the organizational challenges civilian leaders face. The translation work is the value-add unique to this platform.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600"/>
        <w:gridCol w:w="4200"/>
        <w:gridCol w:w="4560"/>
      </w:tblGrid>
      <w:tr>
        <w:tc>
          <w:tcPr>
            <w:tcW w:type="dxa" w:w="600"/>
            <w:tcBorders>
              <w:top w:val="none" w:color="FFFFFF" w:sz="0"/>
              <w:left w:val="none" w:color="FFFFFF" w:sz="0"/>
              <w:bottom w:val="none" w:color="FFFFFF" w:sz="0"/>
              <w:right w:val="none" w:color="FFFFFF" w:sz="0"/>
            </w:tcBorders>
            <w:shd w:fill="1C5C5A" w:val="clear"/>
            <w:tcMar>
              <w:top w:type="dxa" w:w="100"/>
              <w:left w:type="dxa" w:w="100"/>
              <w:bottom w:type="dxa" w:w="100"/>
              <w:right w:type="dxa" w:w="100"/>
            </w:tcMar>
            <w:vAlign w:val="center"/>
          </w:tcPr>
          <w:p>
            <w:pPr>
              <w:jc w:val="center"/>
            </w:pPr>
            <w:r>
              <w:rPr>
                <w:rFonts w:ascii="Arial" w:cs="Arial" w:eastAsia="Arial" w:hAnsi="Arial"/>
                <w:b/>
                <w:bCs/>
                <w:color w:val="FFFFFF"/>
                <w:sz w:val="32"/>
                <w:szCs w:val="32"/>
              </w:rPr>
              <w:t xml:space="preserve">D</w:t>
            </w:r>
          </w:p>
        </w:tc>
        <w:tc>
          <w:tcPr>
            <w:tcW w:type="dxa" w:w="4200"/>
            <w:tcBorders>
              <w:top w:val="none" w:color="FFFFFF" w:sz="0"/>
              <w:left w:val="none" w:color="FFFFFF" w:sz="0"/>
              <w:bottom w:val="none" w:color="FFFFFF" w:sz="0"/>
              <w:right w:val="none" w:color="FFFFFF" w:sz="0"/>
            </w:tcBorders>
            <w:shd w:fill="1C5C5A" w:val="clear"/>
            <w:tcMar>
              <w:top w:type="dxa" w:w="100"/>
              <w:left w:type="dxa" w:w="160"/>
              <w:bottom w:type="dxa" w:w="80"/>
              <w:right w:type="dxa" w:w="120"/>
            </w:tcMar>
          </w:tcPr>
          <w:p>
            <w:r>
              <w:rPr>
                <w:rFonts w:ascii="Arial" w:cs="Arial" w:eastAsia="Arial" w:hAnsi="Arial"/>
                <w:b/>
                <w:bCs/>
                <w:color w:val="FFFFFF"/>
                <w:sz w:val="23"/>
                <w:szCs w:val="23"/>
              </w:rPr>
              <w:t xml:space="preserve">The Art of War</w:t>
            </w:r>
          </w:p>
          <w:p>
            <w:pPr>
              <w:spacing w:before="30"/>
            </w:pPr>
            <w:r>
              <w:rPr>
                <w:rFonts w:ascii="Arial" w:cs="Arial" w:eastAsia="Arial" w:hAnsi="Arial"/>
                <w:i/>
                <w:iCs/>
                <w:color w:val="D0DCE8"/>
                <w:sz w:val="19"/>
                <w:szCs w:val="19"/>
              </w:rPr>
              <w:t xml:space="preserve">Sun Tzu</w:t>
            </w:r>
          </w:p>
        </w:tc>
        <w:tc>
          <w:tcPr>
            <w:tcW w:type="dxa" w:w="4560"/>
            <w:tcBorders>
              <w:top w:val="none" w:color="FFFFFF" w:sz="0"/>
              <w:left w:val="none" w:color="FFFFFF" w:sz="0"/>
              <w:bottom w:val="none" w:color="FFFFFF" w:sz="0"/>
              <w:right w:val="none" w:color="FFFFFF" w:sz="0"/>
            </w:tcBorders>
            <w:shd w:fill="1C5C5A" w:val="clear"/>
            <w:tcMar>
              <w:top w:type="dxa" w:w="100"/>
              <w:left w:type="dxa" w:w="120"/>
              <w:bottom w:type="dxa" w:w="80"/>
              <w:right w:type="dxa" w:w="160"/>
            </w:tcMar>
          </w:tcPr>
          <w:p>
            <w:pPr>
              <w:jc w:val="right"/>
            </w:pPr>
            <w:r>
              <w:rPr>
                <w:rFonts w:ascii="Arial" w:cs="Arial" w:eastAsia="Arial" w:hAnsi="Arial"/>
                <w:b/>
                <w:bCs/>
                <w:color w:val="D0DCE8"/>
                <w:sz w:val="17"/>
                <w:szCs w:val="17"/>
              </w:rPr>
              <w:t xml:space="preserve">CONTENT PRIORITY: </w:t>
            </w:r>
            <w:r>
              <w:rPr>
                <w:rFonts w:ascii="Arial" w:cs="Arial" w:eastAsia="Arial" w:hAnsi="Arial"/>
                <w:b/>
                <w:bCs/>
                <w:color w:val="FFFFFF"/>
                <w:sz w:val="17"/>
                <w:szCs w:val="17"/>
              </w:rPr>
              <w:t xml:space="preserve">TIER 2</w:t>
            </w:r>
          </w:p>
        </w:tc>
      </w:tr>
      <w:tr>
        <w:tc>
          <w:tcPr>
            <w:tcW w:type="dxa" w:w="600"/>
            <w:tcBorders>
              <w:top w:val="none" w:color="FFFFFF" w:sz="0"/>
              <w:left w:val="none" w:color="FFFFFF" w:sz="0"/>
              <w:bottom w:val="none" w:color="FFFFFF" w:sz="0"/>
              <w:right w:val="none" w:color="FFFFFF" w:sz="0"/>
            </w:tcBorders>
            <w:shd w:fill="EBF0F6" w:val="clear"/>
          </w:tcPr>
          <w:p/>
        </w:tc>
        <w:tc>
          <w:tcPr>
            <w:tcW w:type="dxa" w:w="8760"/>
            <w:gridSpan w:val="2"/>
            <w:tcBorders>
              <w:top w:val="none" w:color="FFFFFF" w:sz="0"/>
              <w:left w:val="none" w:color="FFFFFF" w:sz="0"/>
              <w:bottom w:val="none" w:color="FFFFFF" w:sz="0"/>
              <w:right w:val="none" w:color="FFFFFF" w:sz="0"/>
            </w:tcBorders>
            <w:shd w:fill="EBF0F6" w:val="clear"/>
            <w:tcMar>
              <w:top w:type="dxa" w:w="100"/>
              <w:left w:type="dxa" w:w="160"/>
              <w:bottom w:type="dxa" w:w="80"/>
              <w:right w:type="dxa" w:w="160"/>
            </w:tcMar>
          </w:tcPr>
          <w:p>
            <w:pPr>
              <w:spacing w:after="60" w:before="0"/>
            </w:pPr>
            <w:r>
              <w:rPr>
                <w:rFonts w:ascii="Arial" w:cs="Arial" w:eastAsia="Arial" w:hAnsi="Arial"/>
                <w:b/>
                <w:bCs/>
                <w:color w:val="1B3A5C"/>
                <w:sz w:val="19"/>
                <w:szCs w:val="19"/>
              </w:rPr>
              <w:t xml:space="preserve">Why it belongs in the canon: </w:t>
            </w:r>
          </w:p>
          <w:p>
            <w:pPr>
              <w:spacing w:after="80" w:before="0"/>
            </w:pPr>
            <w:r>
              <w:rPr>
                <w:rFonts w:ascii="Arial" w:cs="Arial" w:eastAsia="Arial" w:hAnsi="Arial"/>
                <w:color w:val="1A1A1A"/>
                <w:sz w:val="20"/>
                <w:szCs w:val="20"/>
              </w:rPr>
              <w:t xml:space="preserve">The oldest strategic text in the library and one that military readers will have encountered repeatedly — often without encountering its deeper philosophical dimensions. On this platform, The Art of War is not a strategy primer. It is a meditation on the relationship between preparation, adaptability, and self-knowledge. The commentary should redirect readers from the tactical to the philosophical, asking what Sun Tzu's insights about knowing terrain and knowing yourself mean for a leader navigating the terrain of transition.</w:t>
            </w:r>
          </w:p>
          <w:p>
            <w:pPr>
              <w:spacing w:after="40" w:before="0"/>
            </w:pPr>
            <w:r>
              <w:rPr>
                <w:rFonts w:ascii="Arial" w:cs="Arial" w:eastAsia="Arial" w:hAnsi="Arial"/>
                <w:b/>
                <w:bCs/>
                <w:color w:val="1B3A5C"/>
                <w:sz w:val="18"/>
                <w:szCs w:val="18"/>
              </w:rPr>
              <w:t xml:space="preserve">Wisdom Themes: </w:t>
            </w:r>
            <w:r>
              <w:rPr>
                <w:rFonts w:ascii="Arial" w:cs="Arial" w:eastAsia="Arial" w:hAnsi="Arial"/>
                <w:color w:val="444444"/>
                <w:sz w:val="18"/>
                <w:szCs w:val="18"/>
              </w:rPr>
              <w:t xml:space="preserve">Leadership • Adaptability • Accountability</w:t>
            </w:r>
          </w:p>
          <w:p>
            <w:pPr>
              <w:spacing w:after="40" w:before="0"/>
            </w:pPr>
            <w:r>
              <w:rPr>
                <w:rFonts w:ascii="Arial" w:cs="Arial" w:eastAsia="Arial" w:hAnsi="Arial"/>
                <w:b/>
                <w:bCs/>
                <w:color w:val="1B3A5C"/>
                <w:sz w:val="18"/>
                <w:szCs w:val="18"/>
              </w:rPr>
              <w:t xml:space="preserve">Key Pathways: </w:t>
            </w:r>
            <w:r>
              <w:rPr>
                <w:rFonts w:ascii="Arial" w:cs="Arial" w:eastAsia="Arial" w:hAnsi="Arial"/>
                <w:color w:val="444444"/>
                <w:sz w:val="18"/>
                <w:szCs w:val="18"/>
              </w:rPr>
              <w:t xml:space="preserve">Command Leadership • Leadership Foundations • Leading Through Uncertainty</w:t>
            </w:r>
          </w:p>
          <w:p>
            <w:pPr>
              <w:spacing w:after="40" w:before="40"/>
            </w:pPr>
            <w:r>
              <w:rPr>
                <w:rFonts w:ascii="Arial" w:cs="Arial" w:eastAsia="Arial" w:hAnsi="Arial"/>
                <w:b/>
                <w:bCs/>
                <w:color w:val="8B3A1C"/>
                <w:sz w:val="18"/>
                <w:szCs w:val="18"/>
              </w:rPr>
              <w:t xml:space="preserve">Priority Note: </w:t>
            </w:r>
            <w:r>
              <w:rPr>
                <w:rFonts w:ascii="Arial" w:cs="Arial" w:eastAsia="Arial" w:hAnsi="Arial"/>
                <w:i/>
                <w:iCs/>
                <w:color w:val="8B3A1C"/>
                <w:sz w:val="18"/>
                <w:szCs w:val="18"/>
              </w:rPr>
              <w:t xml:space="preserve">Most readers will have a preformed opinion of this book. The entry must justify why this platform's treatment is worth engaging with — which means the commentary needs to offer something genuinely new.</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914" w:val="clear"/>
            <w:tcMar>
              <w:top w:type="dxa" w:w="140"/>
              <w:left w:type="dxa" w:w="240"/>
              <w:bottom w:type="dxa" w:w="100"/>
              <w:right w:type="dxa" w:w="240"/>
            </w:tcMar>
          </w:tcPr>
          <w:p>
            <w:r>
              <w:rPr>
                <w:rFonts w:ascii="Arial" w:cs="Arial" w:eastAsia="Arial" w:hAnsi="Arial"/>
                <w:b/>
                <w:bCs/>
                <w:color w:val="FFFFFF"/>
                <w:sz w:val="30"/>
                <w:szCs w:val="30"/>
              </w:rPr>
              <w:t xml:space="preserve">Section 6: Cross-Book Wisdom Anchor Nodes</w:t>
            </w:r>
          </w:p>
          <w:p>
            <w:pPr>
              <w:spacing w:before="40"/>
            </w:pPr>
            <w:r>
              <w:rPr>
                <w:rFonts w:ascii="Arial" w:cs="Arial" w:eastAsia="Arial" w:hAnsi="Arial"/>
                <w:i/>
                <w:iCs/>
                <w:color w:val="D0DCE8"/>
                <w:sz w:val="20"/>
                <w:szCs w:val="20"/>
              </w:rPr>
              <w:t xml:space="preserve">Books that power the Cross-Book Wisdom Engine through the density and range of their theme connections</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The Cross-Book Wisdom Engine is the feature that transforms this platform from a reading list into a knowledge system. It works by identifying recurring concepts across books separated by tradition, century, and genre — showing the reader that the insight they encountered in Frankl is also present in Confucius, in Collins, and in Holiday. The convergence is the proof.</w:t>
      </w:r>
    </w:p>
    <w:p>
      <w:pPr>
        <w:spacing w:after="60" w:before="60"/>
      </w:pPr>
      <w:r>
        <w:rPr>
          <w:rFonts w:ascii="Arial" w:cs="Arial" w:eastAsia="Arial" w:hAnsi="Arial"/>
          <w:b w:val="false"/>
          <w:bCs w:val="false"/>
          <w:i w:val="false"/>
          <w:iCs w:val="false"/>
          <w:color w:val="1A1A1A"/>
          <w:sz w:val="21"/>
          <w:szCs w:val="21"/>
        </w:rPr>
        <w:t xml:space="preserve">Anchor node books are the hubs of that engine. They connect to the most wisdom themes simultaneously, which means that when they are developed well — with explicit cross-book connections embedded in the commentary — they create a web of insight that subsequent entries can connect to.</w:t>
      </w:r>
    </w:p>
    <w:p>
      <w:pPr>
        <w:spacing w:after="60" w:before="60"/>
      </w:pPr>
      <w:r>
        <w:rPr>
          <w:rFonts w:ascii="Arial" w:cs="Arial" w:eastAsia="Arial" w:hAnsi="Arial"/>
          <w:b w:val="false"/>
          <w:bCs w:val="false"/>
          <w:i w:val="false"/>
          <w:iCs w:val="false"/>
          <w:color w:val="1A1A1A"/>
          <w:sz w:val="21"/>
          <w:szCs w:val="21"/>
        </w:rPr>
        <w:t xml:space="preserve">Node density is determined by the number of approved Cross-Book Wisdom themes each book anchors. The table below identifies every anchor node and its connectivity score. Books with five or more connections should be treated as infrastructure investments — every hour spent on their commentary pays forward into every future entry.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40"/>
        <w:gridCol w:w="3360"/>
        <w:gridCol w:w="1360"/>
      </w:tblGrid>
      <w:tr>
        <w:tc>
          <w:tcPr>
            <w:tcW w:type="dxa" w:w="220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Book</w:t>
            </w:r>
          </w:p>
        </w:tc>
        <w:tc>
          <w:tcPr>
            <w:tcW w:type="dxa" w:w="160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Author</w:t>
            </w:r>
          </w:p>
        </w:tc>
        <w:tc>
          <w:tcPr>
            <w:tcW w:type="dxa" w:w="84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Theme Count</w:t>
            </w:r>
          </w:p>
        </w:tc>
        <w:tc>
          <w:tcPr>
            <w:tcW w:type="dxa" w:w="336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Wisdom Themes Connected</w:t>
            </w:r>
          </w:p>
        </w:tc>
        <w:tc>
          <w:tcPr>
            <w:tcW w:type="dxa" w:w="136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Node Priority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Meditations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Marcus Aurelius</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Identity, Character, Resilience, Purpose, Meaning, Service</w:t>
            </w:r>
          </w:p>
        </w:tc>
        <w:tc>
          <w:tcPr>
            <w:tcW w:type="dxa" w:w="1360"/>
            <w:tcBorders>
              <w:top w:val="single" w:color="CCCCCC" w:sz="1"/>
              <w:left w:val="single" w:color="CCCCCC" w:sz="1"/>
              <w:bottom w:val="single" w:color="CCCCCC" w:sz="1"/>
              <w:right w:val="single" w:color="CCCCCC" w:sz="1"/>
            </w:tcBorders>
            <w:shd w:fill="FDF6E3" w:val="clear"/>
            <w:tcMar>
              <w:top w:type="dxa" w:w="70"/>
              <w:left w:type="dxa" w:w="110"/>
              <w:bottom w:type="dxa" w:w="70"/>
              <w:right w:type="dxa" w:w="110"/>
            </w:tcMar>
          </w:tcPr>
          <w:p>
            <w:r>
              <w:rPr>
                <w:rFonts w:ascii="Arial" w:cs="Arial" w:eastAsia="Arial" w:hAnsi="Arial"/>
                <w:b/>
                <w:bCs/>
                <w:color w:val="8B3A1C"/>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Man's Search for Meaning</w:t>
            </w:r>
          </w:p>
        </w:tc>
        <w:tc>
          <w:tcPr>
            <w:tcW w:type="dxa" w:w="16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Viktor Frankl</w:t>
            </w:r>
          </w:p>
        </w:tc>
        <w:tc>
          <w:tcPr>
            <w:tcW w:type="dxa" w:w="84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3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Meaning, Purpose, Identity, Resilience, Character</w:t>
            </w:r>
          </w:p>
        </w:tc>
        <w:tc>
          <w:tcPr>
            <w:tcW w:type="dxa" w:w="1360"/>
            <w:tcBorders>
              <w:top w:val="single" w:color="CCCCCC" w:sz="1"/>
              <w:left w:val="single" w:color="CCCCCC" w:sz="1"/>
              <w:bottom w:val="single" w:color="CCCCCC" w:sz="1"/>
              <w:right w:val="single" w:color="CCCCCC" w:sz="1"/>
            </w:tcBorders>
            <w:shd w:fill="FDF6E3" w:val="clear"/>
            <w:tcMar>
              <w:top w:type="dxa" w:w="70"/>
              <w:left w:type="dxa" w:w="110"/>
              <w:bottom w:type="dxa" w:w="70"/>
              <w:right w:type="dxa" w:w="110"/>
            </w:tcMar>
          </w:tcPr>
          <w:p>
            <w:r>
              <w:rPr>
                <w:rFonts w:ascii="Arial" w:cs="Arial" w:eastAsia="Arial" w:hAnsi="Arial"/>
                <w:b/>
                <w:bCs/>
                <w:color w:val="8B3A1C"/>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7 Habits of Highly Effective People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Stephen Covey</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Identity, Purpose, Character, Accountability, Adaptability</w:t>
            </w:r>
          </w:p>
        </w:tc>
        <w:tc>
          <w:tcPr>
            <w:tcW w:type="dxa" w:w="1360"/>
            <w:tcBorders>
              <w:top w:val="single" w:color="CCCCCC" w:sz="1"/>
              <w:left w:val="single" w:color="CCCCCC" w:sz="1"/>
              <w:bottom w:val="single" w:color="CCCCCC" w:sz="1"/>
              <w:right w:val="single" w:color="CCCCCC" w:sz="1"/>
            </w:tcBorders>
            <w:shd w:fill="FDF6E3" w:val="clear"/>
            <w:tcMar>
              <w:top w:type="dxa" w:w="70"/>
              <w:left w:type="dxa" w:w="110"/>
              <w:bottom w:type="dxa" w:w="70"/>
              <w:right w:type="dxa" w:w="110"/>
            </w:tcMar>
          </w:tcPr>
          <w:p>
            <w:r>
              <w:rPr>
                <w:rFonts w:ascii="Arial" w:cs="Arial" w:eastAsia="Arial" w:hAnsi="Arial"/>
                <w:b/>
                <w:bCs/>
                <w:color w:val="8B3A1C"/>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 Eat Last</w:t>
            </w:r>
          </w:p>
        </w:tc>
        <w:tc>
          <w:tcPr>
            <w:tcW w:type="dxa" w:w="16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Simon Sinek</w:t>
            </w:r>
          </w:p>
        </w:tc>
        <w:tc>
          <w:tcPr>
            <w:tcW w:type="dxa" w:w="84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3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Service, Trust, Belonging, Leadership, Purpose</w:t>
            </w:r>
          </w:p>
        </w:tc>
        <w:tc>
          <w:tcPr>
            <w:tcW w:type="dxa" w:w="1360"/>
            <w:tcBorders>
              <w:top w:val="single" w:color="CCCCCC" w:sz="1"/>
              <w:left w:val="single" w:color="CCCCCC" w:sz="1"/>
              <w:bottom w:val="single" w:color="CCCCCC" w:sz="1"/>
              <w:right w:val="single" w:color="CCCCCC" w:sz="1"/>
            </w:tcBorders>
            <w:shd w:fill="FDF6E3" w:val="clear"/>
            <w:tcMar>
              <w:top w:type="dxa" w:w="70"/>
              <w:left w:type="dxa" w:w="110"/>
              <w:bottom w:type="dxa" w:w="70"/>
              <w:right w:type="dxa" w:w="110"/>
            </w:tcMar>
          </w:tcPr>
          <w:p>
            <w:r>
              <w:rPr>
                <w:rFonts w:ascii="Arial" w:cs="Arial" w:eastAsia="Arial" w:hAnsi="Arial"/>
                <w:b/>
                <w:bCs/>
                <w:color w:val="8B3A1C"/>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Servant as Leader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Robert Greenleaf</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Service, Identity, Legacy, Mentorship, Purpose</w:t>
            </w:r>
          </w:p>
        </w:tc>
        <w:tc>
          <w:tcPr>
            <w:tcW w:type="dxa" w:w="1360"/>
            <w:tcBorders>
              <w:top w:val="single" w:color="CCCCCC" w:sz="1"/>
              <w:left w:val="single" w:color="CCCCCC" w:sz="1"/>
              <w:bottom w:val="single" w:color="CCCCCC" w:sz="1"/>
              <w:right w:val="single" w:color="CCCCCC" w:sz="1"/>
            </w:tcBorders>
            <w:shd w:fill="FDF6E3" w:val="clear"/>
            <w:tcMar>
              <w:top w:type="dxa" w:w="70"/>
              <w:left w:type="dxa" w:w="110"/>
              <w:bottom w:type="dxa" w:w="70"/>
              <w:right w:type="dxa" w:w="110"/>
            </w:tcMar>
          </w:tcPr>
          <w:p>
            <w:r>
              <w:rPr>
                <w:rFonts w:ascii="Arial" w:cs="Arial" w:eastAsia="Arial" w:hAnsi="Arial"/>
                <w:b/>
                <w:bCs/>
                <w:color w:val="8B3A1C"/>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Ego Is the Enemy</w:t>
            </w:r>
          </w:p>
        </w:tc>
        <w:tc>
          <w:tcPr>
            <w:tcW w:type="dxa" w:w="16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Ryan Holiday</w:t>
            </w:r>
          </w:p>
        </w:tc>
        <w:tc>
          <w:tcPr>
            <w:tcW w:type="dxa" w:w="84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3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Identity, Character, Adaptability, Resilience</w:t>
            </w:r>
          </w:p>
        </w:tc>
        <w:tc>
          <w:tcPr>
            <w:tcW w:type="dxa" w:w="1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2E5F3E"/>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Five Dysfunctions of a Team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Patrick Lencioni</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Trust, Accountability, Belonging, Leadership</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F3E"/>
                <w:sz w:val="19"/>
                <w:szCs w:val="19"/>
              </w:rPr>
              <w:t xml:space="preserve">HIGH</w:t>
            </w:r>
          </w:p>
        </w:tc>
      </w:tr>
      <w:tr>
        <w:tc>
          <w:tcPr>
            <w:tcW w:type="dxa" w:w="22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Good to Great</w:t>
            </w:r>
          </w:p>
        </w:tc>
        <w:tc>
          <w:tcPr>
            <w:tcW w:type="dxa" w:w="16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Jim Collins</w:t>
            </w:r>
          </w:p>
        </w:tc>
        <w:tc>
          <w:tcPr>
            <w:tcW w:type="dxa" w:w="84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3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 Character, Accountability, Legacy</w:t>
            </w:r>
          </w:p>
        </w:tc>
        <w:tc>
          <w:tcPr>
            <w:tcW w:type="dxa" w:w="1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2E5F3E"/>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Start With Why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Simon Sinek</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Purpose, Identity, Leadership, Meaning</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F3E"/>
                <w:sz w:val="19"/>
                <w:szCs w:val="19"/>
              </w:rPr>
              <w:t xml:space="preserve">HIGH</w:t>
            </w:r>
          </w:p>
        </w:tc>
      </w:tr>
      <w:tr>
        <w:tc>
          <w:tcPr>
            <w:tcW w:type="dxa" w:w="22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Extreme Ownership</w:t>
            </w:r>
          </w:p>
        </w:tc>
        <w:tc>
          <w:tcPr>
            <w:tcW w:type="dxa" w:w="16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Willink, Babin</w:t>
            </w:r>
          </w:p>
        </w:tc>
        <w:tc>
          <w:tcPr>
            <w:tcW w:type="dxa" w:w="84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3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Accountability, Leadership, Service, Trust</w:t>
            </w:r>
          </w:p>
        </w:tc>
        <w:tc>
          <w:tcPr>
            <w:tcW w:type="dxa" w:w="1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2E5F3E"/>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Obstacle Is the Way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Ryan Holiday</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Resilience, Adaptability, Character, Meaning</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F3E"/>
                <w:sz w:val="19"/>
                <w:szCs w:val="19"/>
              </w:rPr>
              <w:t xml:space="preserve">HIGH</w:t>
            </w:r>
          </w:p>
        </w:tc>
      </w:tr>
      <w:tr>
        <w:tc>
          <w:tcPr>
            <w:tcW w:type="dxa" w:w="22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Analects of Confucius</w:t>
            </w:r>
          </w:p>
        </w:tc>
        <w:tc>
          <w:tcPr>
            <w:tcW w:type="dxa" w:w="16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Confucius</w:t>
            </w:r>
          </w:p>
        </w:tc>
        <w:tc>
          <w:tcPr>
            <w:tcW w:type="dxa" w:w="84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3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Character, Service, Mentorship, Legacy, Meaning</w:t>
            </w:r>
          </w:p>
        </w:tc>
        <w:tc>
          <w:tcPr>
            <w:tcW w:type="dxa" w:w="136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2E5F3E"/>
                <w:sz w:val="19"/>
                <w:szCs w:val="19"/>
              </w:rPr>
              <w:t xml:space="preserve">HIGH</w:t>
            </w:r>
          </w:p>
        </w:tc>
      </w:tr>
    </w:tbl>
    <w:p>
      <w:pPr>
        <w:spacing w:after="0" w:before="120"/>
      </w:pPr>
    </w:p>
    <w:p>
      <w:pPr>
        <w:spacing w:after="80" w:before="200"/>
      </w:pPr>
      <w:r>
        <w:rPr>
          <w:rFonts w:ascii="Arial" w:cs="Arial" w:eastAsia="Arial" w:hAnsi="Arial"/>
          <w:b/>
          <w:bCs/>
          <w:color w:val="1B3A5C"/>
          <w:sz w:val="23"/>
          <w:szCs w:val="23"/>
        </w:rPr>
        <w:t xml:space="preserve">What the Node Analysis Reveals</w:t>
      </w:r>
    </w:p>
    <w:p>
      <w:pPr>
        <w:spacing w:after="60" w:before="60"/>
      </w:pPr>
      <w:r>
        <w:rPr>
          <w:rFonts w:ascii="Arial" w:cs="Arial" w:eastAsia="Arial" w:hAnsi="Arial"/>
          <w:b w:val="false"/>
          <w:bCs w:val="false"/>
          <w:i w:val="false"/>
          <w:iCs w:val="false"/>
          <w:color w:val="1A1A1A"/>
          <w:sz w:val="21"/>
          <w:szCs w:val="21"/>
        </w:rPr>
        <w:t xml:space="preserve">Three observations worth noting as content development begins:</w:t>
      </w:r>
    </w:p>
    <w:p>
      <w:pPr>
        <w:spacing w:after="60" w:before="60"/>
      </w:pPr>
      <w:r>
        <w:rPr>
          <w:rFonts w:ascii="Arial" w:cs="Arial" w:eastAsia="Arial" w:hAnsi="Arial"/>
          <w:b w:val="false"/>
          <w:bCs w:val="false"/>
          <w:i w:val="false"/>
          <w:iCs w:val="false"/>
          <w:color w:val="1A1A1A"/>
          <w:sz w:val="21"/>
          <w:szCs w:val="21"/>
        </w:rPr>
        <w:t xml:space="preserve">First, five books connect to five or more wisdom themes. These are the library's load-bearing walls. Developing them with rich cross-book commentary is the single highest-leverage investment in the platform's long-term value. When these pages exist and are done well, every subsequent entry has somewhere to point.</w:t>
      </w:r>
    </w:p>
    <w:p>
      <w:pPr>
        <w:spacing w:after="60" w:before="60"/>
      </w:pPr>
      <w:r>
        <w:rPr>
          <w:rFonts w:ascii="Arial" w:cs="Arial" w:eastAsia="Arial" w:hAnsi="Arial"/>
          <w:b w:val="false"/>
          <w:bCs w:val="false"/>
          <w:i w:val="false"/>
          <w:iCs w:val="false"/>
          <w:color w:val="1A1A1A"/>
          <w:sz w:val="21"/>
          <w:szCs w:val="21"/>
        </w:rPr>
        <w:t xml:space="preserve">Second, Ryan Holiday appears twice in the top-tier nodes (Ego Is the Enemy and The Obstacle Is the Way). Together with Meditations — the source text for Holiday's Stoic project — these three books form the most internally coherent cluster in the library. Developing them as a group, with explicit cross-referencing between entries, produces more than the sum of their parts.</w:t>
      </w:r>
    </w:p>
    <w:p>
      <w:pPr>
        <w:spacing w:after="60" w:before="60"/>
      </w:pPr>
      <w:r>
        <w:rPr>
          <w:rFonts w:ascii="Arial" w:cs="Arial" w:eastAsia="Arial" w:hAnsi="Arial"/>
          <w:b w:val="false"/>
          <w:bCs w:val="false"/>
          <w:i w:val="false"/>
          <w:iCs w:val="false"/>
          <w:color w:val="1A1A1A"/>
          <w:sz w:val="21"/>
          <w:szCs w:val="21"/>
        </w:rPr>
        <w:t xml:space="preserve">Third, the Sinek trilogy (Start With Why, Leaders Eat Last, The Infinite Game) collectively covers Purpose, Identity, Service, Trust, Belonging, Leadership, Meaning, and Legacy. No other single author covers as much thematic ground. The three entries should be developed with awareness of their arc — each book extends and deepens the previous one's argument.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40"/>
              <w:left w:type="dxa" w:w="240"/>
              <w:bottom w:type="dxa" w:w="100"/>
              <w:right w:type="dxa" w:w="240"/>
            </w:tcMar>
          </w:tcPr>
          <w:p>
            <w:r>
              <w:rPr>
                <w:rFonts w:ascii="Arial" w:cs="Arial" w:eastAsia="Arial" w:hAnsi="Arial"/>
                <w:b/>
                <w:bCs/>
                <w:color w:val="FFFFFF"/>
                <w:sz w:val="30"/>
                <w:szCs w:val="30"/>
              </w:rPr>
              <w:t xml:space="preserve">Section 7: Initial Content Creation Priorities</w:t>
            </w:r>
          </w:p>
          <w:p>
            <w:pPr>
              <w:spacing w:before="40"/>
            </w:pPr>
            <w:r>
              <w:rPr>
                <w:rFonts w:ascii="Arial" w:cs="Arial" w:eastAsia="Arial" w:hAnsi="Arial"/>
                <w:i/>
                <w:iCs/>
                <w:color w:val="D0DCE8"/>
                <w:sz w:val="20"/>
                <w:szCs w:val="20"/>
              </w:rPr>
              <w:t xml:space="preserve">The recommended order for developing book pages — sequenced to build platform integrity from the first entry</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Content development should follow a deliberate sequence. The goal is not to complete as many pages as possible as quickly as possible. The goal is to build the right pages first so that the platform's voice, depth, and cross-book connections are established before expansion begins.</w:t>
      </w:r>
    </w:p>
    <w:p>
      <w:pPr>
        <w:spacing w:after="60" w:before="60"/>
      </w:pPr>
      <w:r>
        <w:rPr>
          <w:rFonts w:ascii="Arial" w:cs="Arial" w:eastAsia="Arial" w:hAnsi="Arial"/>
          <w:b w:val="false"/>
          <w:bCs w:val="false"/>
          <w:i w:val="false"/>
          <w:iCs w:val="false"/>
          <w:color w:val="1A1A1A"/>
          <w:sz w:val="21"/>
          <w:szCs w:val="21"/>
        </w:rPr>
        <w:t xml:space="preserve">The sequence below is organized into three development tiers. Tier 1 establishes the intellectual DNA — these 12 pages, done well, are what the platform is. Tier 2 deepens and extends that foundation. Tier 3 broadens the library's coverage without diluting its core.</w:t>
      </w:r>
    </w:p>
    <w:p>
      <w:pPr>
        <w:spacing w:after="60" w:before="60"/>
      </w:pPr>
      <w:r>
        <w:rPr>
          <w:rFonts w:ascii="Arial" w:cs="Arial" w:eastAsia="Arial" w:hAnsi="Arial"/>
          <w:b w:val="false"/>
          <w:bCs w:val="false"/>
          <w:i w:val="false"/>
          <w:iCs w:val="false"/>
          <w:color w:val="1A1A1A"/>
          <w:sz w:val="21"/>
          <w:szCs w:val="21"/>
        </w:rPr>
        <w:t xml:space="preserve">Within each tier, books are sequenced intentionally. The first three entries in Tier 1 are not interchangeable. They are the opening statement of the platform's identity, and they should be developed with that weight in mind.</w:t>
      </w:r>
    </w:p>
    <w:p>
      <w:pPr>
        <w:spacing w:after="0" w:before="80"/>
      </w:pPr>
    </w:p>
    <w:p>
      <w:pPr>
        <w:pStyle w:val="Heading2"/>
        <w:spacing w:after="120" w:before="280"/>
      </w:pPr>
      <w:r>
        <w:rPr>
          <w:rFonts w:ascii="Arial" w:cs="Arial" w:eastAsia="Arial" w:hAnsi="Arial"/>
          <w:b/>
          <w:bCs/>
          <w:color w:val="1B3A5C"/>
          <w:sz w:val="27"/>
          <w:szCs w:val="27"/>
        </w:rPr>
        <w:t xml:space="preserve">Tier 1: Foundation — Develop First (12 Books)</w:t>
      </w:r>
    </w:p>
    <w:p>
      <w:pPr>
        <w:spacing w:after="60" w:before="60"/>
      </w:pPr>
      <w:r>
        <w:rPr>
          <w:rFonts w:ascii="Arial" w:cs="Arial" w:eastAsia="Arial" w:hAnsi="Arial"/>
          <w:b w:val="false"/>
          <w:bCs w:val="false"/>
          <w:i w:val="false"/>
          <w:iCs w:val="false"/>
          <w:color w:val="444444"/>
          <w:sz w:val="21"/>
          <w:szCs w:val="21"/>
        </w:rPr>
        <w:t xml:space="preserve">These twelve entries are the platform's intellectual core. Every subsequent entry will reference, connect to, or build on what is established here. Develop in the sequence listed.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680"/>
        <w:gridCol w:w="1680"/>
        <w:gridCol w:w="2520"/>
      </w:tblGrid>
      <w:tr>
        <w:tc>
          <w:tcPr>
            <w:tcW w:type="dxa" w:w="4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Title</w:t>
            </w:r>
          </w:p>
        </w:tc>
        <w:tc>
          <w:tcPr>
            <w:tcW w:type="dxa" w:w="16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Primary Canon</w:t>
            </w:r>
          </w:p>
        </w:tc>
        <w:tc>
          <w:tcPr>
            <w:tcW w:type="dxa" w:w="16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Wisdom Nodes</w:t>
            </w:r>
          </w:p>
        </w:tc>
        <w:tc>
          <w:tcPr>
            <w:tcW w:type="dxa" w:w="252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Development Note</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Man's Search for Meaning</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Philosophy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 themes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Platform-opening entry. Sets emotional and philosophical register.</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2</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Meditations</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Philosophy</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6 themes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Highest-density node. Establishes the Stoic standard.</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Ego Is the Enemy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 themes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Completes the identity cluster with Frankl and Aurelius.</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Servant as Leader</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Military</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5 themes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Establishes post-service identity framework. Short text; commentary carries weight.</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 Eat Last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Military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 themes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Military-civilian bridge. Names the belonging crisis of transition.</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6</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Extreme Ownership</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Military</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4 themes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Military credibility anchor. Accountability framework.</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Start With Why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Transition</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 themes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Opens the Sinek purpose arc. Entry point for purpose questions.</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8</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7 Habits of Highly Effective People</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5 themes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Bridge between philosophy and daily application. Personal operating system.</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Obstacle Is the Way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Philosophy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 themes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Closes the Stoic trilogy. Applied Stoicism for the transition reader.</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10</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Five Dysfunctions of a Team</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Leadership</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4 themes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Team trust framework. Essential for civilian integration.</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Good to Great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Leadership</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 themes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Level 5 Leadership as military-to-civilian translation.</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12</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 and Self-Deception</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Foundational + Leadership</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4 themes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Psychological honesty. Identity diagnostic. Develops the accountability arc.</w:t>
            </w:r>
          </w:p>
        </w:tc>
      </w:tr>
    </w:tbl>
    <w:p>
      <w:pPr>
        <w:spacing w:after="0" w:before="160"/>
      </w:pPr>
    </w:p>
    <w:p>
      <w:pPr>
        <w:pStyle w:val="Heading2"/>
        <w:spacing w:after="120" w:before="280"/>
      </w:pPr>
      <w:r>
        <w:rPr>
          <w:rFonts w:ascii="Arial" w:cs="Arial" w:eastAsia="Arial" w:hAnsi="Arial"/>
          <w:b/>
          <w:bCs/>
          <w:color w:val="1B3A5C"/>
          <w:sz w:val="27"/>
          <w:szCs w:val="27"/>
        </w:rPr>
        <w:t xml:space="preserve">Tier 2: Deepening — Develop Second (11 Books)</w:t>
      </w:r>
    </w:p>
    <w:p>
      <w:pPr>
        <w:spacing w:after="60" w:before="60"/>
      </w:pPr>
      <w:r>
        <w:rPr>
          <w:rFonts w:ascii="Arial" w:cs="Arial" w:eastAsia="Arial" w:hAnsi="Arial"/>
          <w:b w:val="false"/>
          <w:bCs w:val="false"/>
          <w:i w:val="false"/>
          <w:iCs w:val="false"/>
          <w:color w:val="444444"/>
          <w:sz w:val="21"/>
          <w:szCs w:val="21"/>
        </w:rPr>
        <w:t xml:space="preserve">These eleven entries extend and apply the Foundational Canon. They serve specific pathways with high priority and connect back to the infrastructure already established in Tier 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680"/>
        <w:gridCol w:w="1680"/>
        <w:gridCol w:w="2520"/>
      </w:tblGrid>
      <w:tr>
        <w:tc>
          <w:tcPr>
            <w:tcW w:type="dxa" w:w="4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Title</w:t>
            </w:r>
          </w:p>
        </w:tc>
        <w:tc>
          <w:tcPr>
            <w:tcW w:type="dxa" w:w="16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Primary Canon</w:t>
            </w:r>
          </w:p>
        </w:tc>
        <w:tc>
          <w:tcPr>
            <w:tcW w:type="dxa" w:w="16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Pathway Priority</w:t>
            </w:r>
          </w:p>
        </w:tc>
        <w:tc>
          <w:tcPr>
            <w:tcW w:type="dxa" w:w="252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Development Note</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Infinite Game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Transition + Military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Finding Purpose / Command</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Closes the Sinek trilogy. Develop after Start With Why and Leaders Eat Last are live.</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14</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First 90 Days</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Transition</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Most practically indispensable transition text. Connects Tier 1 to civilian reality.</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Crucial Conversations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Communication gap text. Highest-return practical book for civilian integration.</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16</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Mindset</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Transition</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Resilience / Developing Leaders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Cognitive foundation for transition. Essential mentorship framework.</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Team of Teams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Military + Leadership</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Command Leadership</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Only command-level military case study. McChrystal's organizational transformation.</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18</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Essentialism</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Transition</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Preparing for Retirement</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Retirement decision framework. The discipline of elimination.</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Effective Executive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Civilian executive vocabulary. Drucker's effectiveness framework.</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20</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How to Lead When You're Not in Charge</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Transition</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Identity Beyond Rank</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Authority loss normalization. Influence without rank.</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Analects of Confucius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Philosophy + Military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Personal Growth / Purpose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5-theme node. Eastern tradition anchor. Virtue as daily practice.</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22</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Art of War</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Military</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Command Leadership</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Philosophical reframe for familiar text. Knowing terrain, knowing self.</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Mastery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Philosophy + Transition</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Apprenticeship and craft as post-service identity. Mentorship from learner's view.</w:t>
            </w:r>
          </w:p>
        </w:tc>
      </w:tr>
    </w:tbl>
    <w:p>
      <w:pPr>
        <w:spacing w:after="0" w:before="160"/>
      </w:pPr>
    </w:p>
    <w:p>
      <w:pPr>
        <w:pStyle w:val="Heading2"/>
        <w:spacing w:after="120" w:before="280"/>
      </w:pPr>
      <w:r>
        <w:rPr>
          <w:rFonts w:ascii="Arial" w:cs="Arial" w:eastAsia="Arial" w:hAnsi="Arial"/>
          <w:b/>
          <w:bCs/>
          <w:color w:val="1B3A5C"/>
          <w:sz w:val="27"/>
          <w:szCs w:val="27"/>
        </w:rPr>
        <w:t xml:space="preserve">Tier 3: Expansion — Develop Third (17 Books)</w:t>
      </w:r>
    </w:p>
    <w:p>
      <w:pPr>
        <w:spacing w:after="60" w:before="60"/>
      </w:pPr>
      <w:r>
        <w:rPr>
          <w:rFonts w:ascii="Arial" w:cs="Arial" w:eastAsia="Arial" w:hAnsi="Arial"/>
          <w:b w:val="false"/>
          <w:bCs w:val="false"/>
          <w:i w:val="false"/>
          <w:iCs w:val="false"/>
          <w:color w:val="444444"/>
          <w:sz w:val="21"/>
          <w:szCs w:val="21"/>
        </w:rPr>
        <w:t xml:space="preserve">Tier 3 completes the 40-book collection. These entries serve specific reader needs — specialized skills, deeper philosophical exploration, supporting frameworks — and should be developed once the Tier 1 and Tier 2 infrastructure is fully established.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680"/>
        <w:gridCol w:w="1680"/>
        <w:gridCol w:w="2520"/>
      </w:tblGrid>
      <w:tr>
        <w:tc>
          <w:tcPr>
            <w:tcW w:type="dxa" w:w="4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Title</w:t>
            </w:r>
          </w:p>
        </w:tc>
        <w:tc>
          <w:tcPr>
            <w:tcW w:type="dxa" w:w="16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Primary Canon</w:t>
            </w:r>
          </w:p>
        </w:tc>
        <w:tc>
          <w:tcPr>
            <w:tcW w:type="dxa" w:w="168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Pathway Priority</w:t>
            </w:r>
          </w:p>
        </w:tc>
        <w:tc>
          <w:tcPr>
            <w:tcW w:type="dxa" w:w="252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Development Note</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Atomic Habits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Supporting</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Resilience /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Behavioral recovery framework. Connects to identity via Clear's system.</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25</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Crucial Accountability</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Developing Future Leaders</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Extends Crucial Conversations. Mentorship accountability tools.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Ideal Team Player</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Developing Future Leaders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Humble, hungry, smart framework. Character development for mentors.</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27</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How to Win Friends &amp; Influence People</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 + Transition</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Social skills gap for military-to-civilian communication.</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28</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Book of Five Rings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Philosophy + Military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Personal Growth</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Warrior-philosopher tradition. Mastery and presence.</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29</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Unfettered Mind</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Philosophy</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Personal Growth / Resilience</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Zen and martial arts. Non-attachment as leadership practice.</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Decisive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Leading Through Uncertainty</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Decision-making under ambiguity. Practical framework.</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31</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Beyond Good and Evil</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Philosophy</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Personal Growth</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Most challenging text. Develop last in philosophical cluster.</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Personal MBA</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Business literacy for leaders with no formal education.</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33</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Financial Intelligence</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 / Retirement</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Business finance foundation. First practical business entry.</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To Sell Is Human</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 + Transition</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Persuasion reframe for veterans who resist sales identity.</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35</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New Strategic Selling</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Stakeholder influence in civilian organizations.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Goal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Theory of constraints. Operations and systems thinking.</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37</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Lean Thinking</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Process improvement. Civilian operations vocabulary.</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38</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Lean Six Sigma?</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Quality and process. Pairs with Lean Thinking.</w:t>
            </w:r>
          </w:p>
        </w:tc>
      </w:tr>
      <w:tr>
        <w:tc>
          <w:tcPr>
            <w:tcW w:type="dxa" w:w="4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39</w:t>
            </w:r>
          </w:p>
        </w:tc>
        <w:tc>
          <w:tcPr>
            <w:tcW w:type="dxa" w:w="30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Fundamentals of Project Management</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Project management fundamentals. Civilian skill-building.</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HBR Guide to Data Analytics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Specialized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Building a Second Career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Data literacy for civilian organizational roles.</w:t>
            </w:r>
          </w:p>
        </w:tc>
      </w:tr>
    </w:tbl>
    <w:p>
      <w:r>
        <w:br w:type="page"/>
      </w:r>
    </w:p>
    <w:p>
      <w:pPr>
        <w:pStyle w:val="Heading1"/>
        <w:spacing w:after="160" w:before="360"/>
      </w:pPr>
      <w:r>
        <w:rPr>
          <w:rFonts w:ascii="Arial" w:cs="Arial" w:eastAsia="Arial" w:hAnsi="Arial"/>
          <w:b/>
          <w:bCs/>
          <w:color w:val="1B3A5C"/>
          <w:sz w:val="36"/>
          <w:szCs w:val="36"/>
        </w:rPr>
        <w:t xml:space="preserve">Editorial Notes for Content Development</w:t>
      </w:r>
    </w:p>
    <w:p>
      <w:pPr>
        <w:spacing w:after="80" w:before="200"/>
      </w:pPr>
      <w:r>
        <w:rPr>
          <w:rFonts w:ascii="Arial" w:cs="Arial" w:eastAsia="Arial" w:hAnsi="Arial"/>
          <w:b/>
          <w:bCs/>
          <w:color w:val="1B3A5C"/>
          <w:sz w:val="23"/>
          <w:szCs w:val="23"/>
        </w:rPr>
        <w:t xml:space="preserve">On the First Three Entries</w:t>
      </w:r>
    </w:p>
    <w:p>
      <w:pPr>
        <w:spacing w:after="60" w:before="60"/>
      </w:pPr>
      <w:r>
        <w:rPr>
          <w:rFonts w:ascii="Arial" w:cs="Arial" w:eastAsia="Arial" w:hAnsi="Arial"/>
          <w:b w:val="false"/>
          <w:bCs w:val="false"/>
          <w:i w:val="false"/>
          <w:iCs w:val="false"/>
          <w:color w:val="1A1A1A"/>
          <w:sz w:val="21"/>
          <w:szCs w:val="21"/>
        </w:rPr>
        <w:t xml:space="preserve">Man's Search for Meaning, Meditations, and Ego Is the Enemy should be developed as a deliberate opening trilogy. Not because they were written together — they weren't — but because together they answer the most urgent question the platform's primary reader is asking: who am I if I'm no longer what my rank said I was?</w:t>
      </w:r>
    </w:p>
    <w:p>
      <w:pPr>
        <w:spacing w:after="60" w:before="60"/>
      </w:pPr>
      <w:r>
        <w:rPr>
          <w:rFonts w:ascii="Arial" w:cs="Arial" w:eastAsia="Arial" w:hAnsi="Arial"/>
          <w:b w:val="false"/>
          <w:bCs w:val="false"/>
          <w:i w:val="false"/>
          <w:iCs w:val="false"/>
          <w:color w:val="1A1A1A"/>
          <w:sz w:val="21"/>
          <w:szCs w:val="21"/>
        </w:rPr>
        <w:t xml:space="preserve">Frankl answers: you are the meaning you choose, even under conditions you didn't choose. Aurelius answers: you are your character, practiced daily, regardless of what position you hold. Holiday answers: you are not your ego, and the sooner you find out what remains after the ego is stripped away, the sooner the real work begins.</w:t>
      </w:r>
    </w:p>
    <w:p>
      <w:pPr>
        <w:spacing w:after="60" w:before="60"/>
      </w:pPr>
      <w:r>
        <w:rPr>
          <w:rFonts w:ascii="Arial" w:cs="Arial" w:eastAsia="Arial" w:hAnsi="Arial"/>
          <w:b w:val="false"/>
          <w:bCs w:val="false"/>
          <w:i w:val="false"/>
          <w:iCs w:val="false"/>
          <w:color w:val="1A1A1A"/>
          <w:sz w:val="21"/>
          <w:szCs w:val="21"/>
        </w:rPr>
        <w:t xml:space="preserve">If a reader found these three entries and nothing else, they would have the most important things this platform has to offer. Build them accordingly.</w:t>
      </w:r>
    </w:p>
    <w:p>
      <w:pPr>
        <w:spacing w:after="80" w:before="200"/>
      </w:pPr>
      <w:r>
        <w:rPr>
          <w:rFonts w:ascii="Arial" w:cs="Arial" w:eastAsia="Arial" w:hAnsi="Arial"/>
          <w:b/>
          <w:bCs/>
          <w:color w:val="1B3A5C"/>
          <w:sz w:val="23"/>
          <w:szCs w:val="23"/>
        </w:rPr>
        <w:t xml:space="preserve">On the Sinek Arc</w:t>
      </w:r>
    </w:p>
    <w:p>
      <w:pPr>
        <w:spacing w:after="60" w:before="60"/>
      </w:pPr>
      <w:r>
        <w:rPr>
          <w:rFonts w:ascii="Arial" w:cs="Arial" w:eastAsia="Arial" w:hAnsi="Arial"/>
          <w:b w:val="false"/>
          <w:bCs w:val="false"/>
          <w:i w:val="false"/>
          <w:iCs w:val="false"/>
          <w:color w:val="1A1A1A"/>
          <w:sz w:val="21"/>
          <w:szCs w:val="21"/>
        </w:rPr>
        <w:t xml:space="preserve">Start With Why, Leaders Eat Last, and The Infinite Game form a coherent three-book argument about purpose, community, and legacy. Start With Why asks: what drives you? Leaders Eat Last asks: who do you serve? The Infinite Game asks: what will you leave behind? Developing all three, with explicit cross-references connecting them, creates one of the platform's most valuable reading sequences — a complete framework for post-service purpose.</w:t>
      </w:r>
    </w:p>
    <w:p>
      <w:pPr>
        <w:spacing w:after="80" w:before="200"/>
      </w:pPr>
      <w:r>
        <w:rPr>
          <w:rFonts w:ascii="Arial" w:cs="Arial" w:eastAsia="Arial" w:hAnsi="Arial"/>
          <w:b/>
          <w:bCs/>
          <w:color w:val="1B3A5C"/>
          <w:sz w:val="23"/>
          <w:szCs w:val="23"/>
        </w:rPr>
        <w:t xml:space="preserve">On the Stoic Cluster</w:t>
      </w:r>
    </w:p>
    <w:p>
      <w:pPr>
        <w:spacing w:after="60" w:before="60"/>
      </w:pPr>
      <w:r>
        <w:rPr>
          <w:rFonts w:ascii="Arial" w:cs="Arial" w:eastAsia="Arial" w:hAnsi="Arial"/>
          <w:b w:val="false"/>
          <w:bCs w:val="false"/>
          <w:i w:val="false"/>
          <w:iCs w:val="false"/>
          <w:color w:val="1A1A1A"/>
          <w:sz w:val="21"/>
          <w:szCs w:val="21"/>
        </w:rPr>
        <w:t xml:space="preserve">Meditations, Ego Is the Enemy, and The Obstacle Is the Way constitute the library's most internally coherent philosophical cluster. Ryan Holiday wrote both of his books as modern applications of Marcus Aurelius's philosophy. Developing these three with explicit cross-referencing allows readers to follow a Stoic thread from its ancient source through its contemporary application — which is a form of intellectual experience most transition resources cannot offer.</w:t>
      </w:r>
    </w:p>
    <w:p>
      <w:pPr>
        <w:spacing w:after="80" w:before="200"/>
      </w:pPr>
      <w:r>
        <w:rPr>
          <w:rFonts w:ascii="Arial" w:cs="Arial" w:eastAsia="Arial" w:hAnsi="Arial"/>
          <w:b/>
          <w:bCs/>
          <w:color w:val="1B3A5C"/>
          <w:sz w:val="23"/>
          <w:szCs w:val="23"/>
        </w:rPr>
        <w:t xml:space="preserve">On the Specialized Books</w:t>
      </w:r>
    </w:p>
    <w:p>
      <w:pPr>
        <w:spacing w:after="60" w:before="60"/>
      </w:pPr>
      <w:r>
        <w:rPr>
          <w:rFonts w:ascii="Arial" w:cs="Arial" w:eastAsia="Arial" w:hAnsi="Arial"/>
          <w:b w:val="false"/>
          <w:bCs w:val="false"/>
          <w:i w:val="false"/>
          <w:iCs w:val="false"/>
          <w:color w:val="1A1A1A"/>
          <w:sz w:val="21"/>
          <w:szCs w:val="21"/>
        </w:rPr>
        <w:t xml:space="preserve">The seven specialized books (Financial Intelligence, Lean Thinking, Lean Six Sigma, The Goal, Project Management, New Strategic Selling, HBR Analytics) serve a real reader need. A military leader who spent twenty years in uniform may have no business literacy whatsoever and genuinely needs what these books offer. But they should be developed after the identity and leadership foundation is established — not because they matter less, but because a reader who arrives through Meditations and finds The Goal must first understand that this platform cares as much about who they are becoming as it does about what skills they are acquiring.</w:t>
      </w:r>
    </w:p>
    <w:p>
      <w:pPr>
        <w:spacing w:after="80" w:before="200"/>
      </w:pPr>
      <w:r>
        <w:rPr>
          <w:rFonts w:ascii="Arial" w:cs="Arial" w:eastAsia="Arial" w:hAnsi="Arial"/>
          <w:b/>
          <w:bCs/>
          <w:color w:val="1B3A5C"/>
          <w:sz w:val="23"/>
          <w:szCs w:val="23"/>
        </w:rPr>
        <w:t xml:space="preserve">On Voice Consistency Across Entries</w:t>
      </w:r>
    </w:p>
    <w:p>
      <w:pPr>
        <w:spacing w:after="60" w:before="60"/>
      </w:pPr>
      <w:r>
        <w:rPr>
          <w:rFonts w:ascii="Arial" w:cs="Arial" w:eastAsia="Arial" w:hAnsi="Arial"/>
          <w:b w:val="false"/>
          <w:bCs w:val="false"/>
          <w:i w:val="false"/>
          <w:iCs w:val="false"/>
          <w:color w:val="1A1A1A"/>
          <w:sz w:val="21"/>
          <w:szCs w:val="21"/>
        </w:rPr>
        <w:t xml:space="preserve">The greatest editorial risk as content scales is voice drift. Book 1 and Book 40 should feel like they were written by the same experienced leader. The Voice &amp; Style Guide governs this, but several principles deserve emphasis as content creation begins:</w:t>
      </w:r>
    </w:p>
    <w:p>
      <w:pPr>
        <w:pStyle w:val="ListParagraph"/>
        <w:numPr>
          <w:ilvl w:val="0"/>
          <w:numId w:val="2"/>
        </w:numPr>
        <w:spacing w:after="40" w:before="40"/>
      </w:pPr>
      <w:r>
        <w:rPr>
          <w:rFonts w:ascii="Arial" w:cs="Arial" w:eastAsia="Arial" w:hAnsi="Arial"/>
          <w:color w:val="1A1A1A"/>
          <w:sz w:val="21"/>
          <w:szCs w:val="21"/>
        </w:rPr>
        <w:t xml:space="preserve">Every entry should feel like a conversation, not a review. The reader should feel understood, not instructed.</w:t>
      </w:r>
    </w:p>
    <w:p>
      <w:pPr>
        <w:pStyle w:val="ListParagraph"/>
        <w:numPr>
          <w:ilvl w:val="0"/>
          <w:numId w:val="2"/>
        </w:numPr>
        <w:spacing w:after="40" w:before="40"/>
      </w:pPr>
      <w:r>
        <w:rPr>
          <w:rFonts w:ascii="Arial" w:cs="Arial" w:eastAsia="Arial" w:hAnsi="Arial"/>
          <w:color w:val="1A1A1A"/>
          <w:sz w:val="21"/>
          <w:szCs w:val="21"/>
        </w:rPr>
        <w:t xml:space="preserve">The naval officer's perspective should shape observations naturally — never through explicit autobiography, always through the lens of someone who has carried responsibility, navigated uncertainty, and led real people.</w:t>
      </w:r>
    </w:p>
    <w:p>
      <w:pPr>
        <w:pStyle w:val="ListParagraph"/>
        <w:numPr>
          <w:ilvl w:val="0"/>
          <w:numId w:val="2"/>
        </w:numPr>
        <w:spacing w:after="40" w:before="40"/>
      </w:pPr>
      <w:r>
        <w:rPr>
          <w:rFonts w:ascii="Arial" w:cs="Arial" w:eastAsia="Arial" w:hAnsi="Arial"/>
          <w:color w:val="1A1A1A"/>
          <w:sz w:val="21"/>
          <w:szCs w:val="21"/>
        </w:rPr>
        <w:t xml:space="preserve">Avoid the motivational register. Readers leave feeling equipped, not inspired. There is a significant difference.</w:t>
      </w:r>
    </w:p>
    <w:p>
      <w:pPr>
        <w:pStyle w:val="ListParagraph"/>
        <w:numPr>
          <w:ilvl w:val="0"/>
          <w:numId w:val="2"/>
        </w:numPr>
        <w:spacing w:after="40" w:before="40"/>
      </w:pPr>
      <w:r>
        <w:rPr>
          <w:rFonts w:ascii="Arial" w:cs="Arial" w:eastAsia="Arial" w:hAnsi="Arial"/>
          <w:color w:val="1A1A1A"/>
          <w:sz w:val="21"/>
          <w:szCs w:val="21"/>
        </w:rPr>
        <w:t xml:space="preserve">Acknowledge difficulty without wallowing in it. The transition is hard. Say so. Then move forward.</w:t>
      </w:r>
    </w:p>
    <w:p>
      <w:pPr>
        <w:pStyle w:val="ListParagraph"/>
        <w:numPr>
          <w:ilvl w:val="0"/>
          <w:numId w:val="2"/>
        </w:numPr>
        <w:spacing w:after="40" w:before="40"/>
      </w:pPr>
      <w:r>
        <w:rPr>
          <w:rFonts w:ascii="Arial" w:cs="Arial" w:eastAsia="Arial" w:hAnsi="Arial"/>
          <w:color w:val="1A1A1A"/>
          <w:sz w:val="21"/>
          <w:szCs w:val="21"/>
        </w:rPr>
        <w:t xml:space="preserve">Connect philosophy to practice in every entry. An idea that cannot be applied is a decoration, not a tool.</w:t>
      </w:r>
    </w:p>
    <w:p>
      <w:pPr>
        <w:pBdr>
          <w:bottom w:val="single" w:color="C5D5E8" w:sz="6" w:space="1"/>
        </w:pBdr>
        <w:spacing w:after="180" w:before="180"/>
      </w:pPr>
    </w:p>
    <w:p>
      <w:pPr>
        <w:spacing w:after="40" w:before="160"/>
        <w:jc w:val="center"/>
      </w:pPr>
      <w:r>
        <w:rPr>
          <w:rFonts w:ascii="Arial" w:cs="Arial" w:eastAsia="Arial" w:hAnsi="Arial"/>
          <w:b/>
          <w:bCs/>
          <w:color w:val="1B3A5C"/>
          <w:sz w:val="22"/>
          <w:szCs w:val="22"/>
        </w:rPr>
        <w:t xml:space="preserve">Leadership Through Transition</w:t>
      </w:r>
    </w:p>
    <w:p>
      <w:pPr>
        <w:spacing w:after="0" w:before="0"/>
        <w:jc w:val="center"/>
      </w:pPr>
      <w:r>
        <w:rPr>
          <w:rFonts w:ascii="Arial" w:cs="Arial" w:eastAsia="Arial" w:hAnsi="Arial"/>
          <w:i/>
          <w:iCs/>
          <w:color w:val="888888"/>
          <w:sz w:val="19"/>
          <w:szCs w:val="19"/>
        </w:rPr>
        <w:t xml:space="preserve">Editorial Canon Guide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2026-06-11T19:46:06.011Z</dcterms:created>
  <dcterms:modified xsi:type="dcterms:W3CDTF">2026-06-11T19:46:06.025Z</dcterms:modified>
</cp:coreProperties>
</file>

<file path=docProps/custom.xml><?xml version="1.0" encoding="utf-8"?>
<Properties xmlns="http://schemas.openxmlformats.org/officeDocument/2006/custom-properties" xmlns:vt="http://schemas.openxmlformats.org/officeDocument/2006/docPropsVTypes"/>
</file>