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E4A8E"/>
          <w:sz w:val="24"/>
          <w:szCs w:val="24"/>
        </w:rPr>
        <w:t xml:space="preserve">LEADERSHIP THROUGH TRANSITION  ·  BOOK ENTRY</w:t>
      </w:r>
    </w:p>
    <w:p>
      <w:pPr>
        <w:pBdr>
          <w:bottom w:val="single" w:color="2E4A8E" w:sz="4" w:space="1"/>
        </w:pBdr>
        <w:spacing w:after="120" w:before="120"/>
      </w:pPr>
    </w:p>
    <w:p>
      <w:pPr>
        <w:spacing w:after="80" w:before="80"/>
      </w:pPr>
    </w:p>
    <w:p>
      <w:pPr>
        <w:spacing w:after="60" w:before="80"/>
        <w:jc w:val="center"/>
      </w:pPr>
      <w:r>
        <w:rPr>
          <w:rFonts w:ascii="Arial" w:cs="Arial" w:eastAsia="Arial" w:hAnsi="Arial"/>
          <w:b/>
          <w:bCs/>
          <w:sz w:val="36"/>
          <w:szCs w:val="36"/>
        </w:rPr>
        <w:t xml:space="preserve">Ego Is the Enemy</w:t>
      </w:r>
    </w:p>
    <w:p>
      <w:pPr>
        <w:spacing w:after="80" w:before="0"/>
        <w:jc w:val="center"/>
      </w:pPr>
      <w:r>
        <w:rPr>
          <w:rFonts w:ascii="Arial" w:cs="Arial" w:eastAsia="Arial" w:hAnsi="Arial"/>
          <w:sz w:val="24"/>
          <w:szCs w:val="24"/>
        </w:rPr>
        <w:t xml:space="preserve">Ryan Holiday  ·  2016</w:t>
      </w:r>
    </w:p>
    <w:p>
      <w:pPr>
        <w:spacing w:after="200" w:before="0"/>
        <w:jc w:val="center"/>
      </w:pPr>
      <w:r>
        <w:rPr>
          <w:rFonts w:ascii="Arial" w:cs="Arial" w:eastAsia="Arial" w:hAnsi="Arial"/>
          <w:i/>
          <w:iCs/>
          <w:sz w:val="20"/>
          <w:szCs w:val="20"/>
        </w:rPr>
        <w:t xml:space="preserve">Drawing on Stoic philosophy and historical example, Holiday argues that ego — the self built on recognition, title, and the approval of others — is the specific internal obstacle that prevents most leaders from doing their best work and surviving their hardest seasons.</w:t>
      </w:r>
    </w:p>
    <w:p>
      <w:pPr>
        <w:pBdr>
          <w:bottom w:val="single" w:color="2E4A8E" w:sz="4" w:space="1"/>
        </w:pBdr>
        <w:spacing w:after="120" w:before="120"/>
      </w:pPr>
    </w:p>
    <w:p>
      <w:pPr>
        <w:pStyle w:val="Heading2"/>
        <w:spacing w:after="120" w:before="240"/>
      </w:pPr>
      <w:r>
        <w:rPr>
          <w:rFonts w:ascii="Arial" w:cs="Arial" w:eastAsia="Arial" w:hAnsi="Arial"/>
          <w:b/>
          <w:bCs/>
          <w:sz w:val="24"/>
          <w:szCs w:val="24"/>
        </w:rPr>
        <w:t xml:space="preserve">ENTRY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Library Tier</w:t>
            </w:r>
          </w:p>
        </w:tc>
        <w:tc>
          <w:tcPr>
            <w:tcW w:type="dxa" w:w="648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sz w:val="20"/>
                <w:szCs w:val="20"/>
              </w:rPr>
              <w:t xml:space="preserve">Core</w:t>
            </w:r>
          </w:p>
        </w:tc>
      </w:tr>
      <w:tr>
        <w:tc>
          <w:tcPr>
            <w:tcW w:type="dxa" w:w="288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Canon Status</w:t>
            </w:r>
          </w:p>
        </w:tc>
        <w:tc>
          <w:tcPr>
            <w:tcW w:type="dxa" w:w="648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sz w:val="20"/>
                <w:szCs w:val="20"/>
              </w:rPr>
              <w:t xml:space="preserve">Foundational Canon</w:t>
            </w:r>
          </w:p>
        </w:tc>
      </w:tr>
      <w:tr>
        <w:tc>
          <w:tcPr>
            <w:tcW w:type="dxa" w:w="288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Node Tier</w:t>
            </w:r>
          </w:p>
        </w:tc>
        <w:tc>
          <w:tcPr>
            <w:tcW w:type="dxa" w:w="648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sz w:val="20"/>
                <w:szCs w:val="20"/>
              </w:rPr>
              <w:t xml:space="preserve">High-Density Node — 4 Wisdom Themes</w:t>
            </w:r>
          </w:p>
        </w:tc>
      </w:tr>
      <w:tr>
        <w:tc>
          <w:tcPr>
            <w:tcW w:type="dxa" w:w="288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Categories</w:t>
            </w:r>
          </w:p>
        </w:tc>
        <w:tc>
          <w:tcPr>
            <w:tcW w:type="dxa" w:w="648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sz w:val="20"/>
                <w:szCs w:val="20"/>
              </w:rPr>
              <w:t xml:space="preserve">Personal Development  ·  Philosophy</w:t>
            </w:r>
          </w:p>
        </w:tc>
      </w:tr>
    </w:tbl>
    <w:p>
      <w:pPr>
        <w:spacing w:after="80" w:before="80"/>
      </w:pPr>
    </w:p>
    <w:p>
      <w:pPr>
        <w:pStyle w:val="Heading2"/>
        <w:spacing w:after="120" w:before="240"/>
      </w:pPr>
      <w:r>
        <w:rPr>
          <w:rFonts w:ascii="Arial" w:cs="Arial" w:eastAsia="Arial" w:hAnsi="Arial"/>
          <w:b/>
          <w:bCs/>
          <w:sz w:val="24"/>
          <w:szCs w:val="24"/>
        </w:rPr>
        <w:t xml:space="preserve">TAXONOMY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Leadership Themes</w:t>
            </w:r>
          </w:p>
        </w:tc>
        <w:tc>
          <w:tcPr>
            <w:tcW w:type="dxa" w:w="648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sz w:val="20"/>
                <w:szCs w:val="20"/>
              </w:rPr>
              <w:t xml:space="preserve">Humility  ·  Self-Awareness  ·  Character  ·  Discipline  ·  Growth Mindset</w:t>
            </w:r>
          </w:p>
        </w:tc>
      </w:tr>
      <w:tr>
        <w:tc>
          <w:tcPr>
            <w:tcW w:type="dxa" w:w="288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Transition Themes</w:t>
            </w:r>
          </w:p>
        </w:tc>
        <w:tc>
          <w:tcPr>
            <w:tcW w:type="dxa" w:w="648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sz w:val="20"/>
                <w:szCs w:val="20"/>
              </w:rPr>
              <w:t xml:space="preserve">Identity  ·  Reinvention  ·  Personal Growth  ·  Uncertainty</w:t>
            </w:r>
          </w:p>
        </w:tc>
      </w:tr>
      <w:tr>
        <w:tc>
          <w:tcPr>
            <w:tcW w:type="dxa" w:w="288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Reading Pathways</w:t>
            </w:r>
          </w:p>
        </w:tc>
        <w:tc>
          <w:tcPr>
            <w:tcW w:type="dxa" w:w="648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sz w:val="20"/>
                <w:szCs w:val="20"/>
              </w:rPr>
              <w:t xml:space="preserve">Identity Beyond Rank  ·  Personal Growth &amp; Reflection  ·  Resilience Under Pressure  ·  Leadership Foundations</w:t>
            </w:r>
          </w:p>
        </w:tc>
      </w:tr>
      <w:tr>
        <w:tc>
          <w:tcPr>
            <w:tcW w:type="dxa" w:w="288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Cross-Book Wisdom Themes</w:t>
            </w:r>
          </w:p>
        </w:tc>
        <w:tc>
          <w:tcPr>
            <w:tcW w:type="dxa" w:w="648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sz w:val="20"/>
                <w:szCs w:val="20"/>
              </w:rPr>
              <w:t xml:space="preserve">Identity  ·  Character  ·  Adaptability  ·  Resilience</w:t>
            </w:r>
          </w:p>
        </w:tc>
      </w:tr>
    </w:tbl>
    <w:p>
      <w:pPr>
        <w:spacing w:after="80" w:before="80"/>
      </w:pPr>
    </w:p>
    <w:p>
      <w:pPr>
        <w:pStyle w:val="Heading2"/>
        <w:spacing w:after="120" w:before="240"/>
      </w:pPr>
      <w:r>
        <w:rPr>
          <w:rFonts w:ascii="Arial" w:cs="Arial" w:eastAsia="Arial" w:hAnsi="Arial"/>
          <w:b/>
          <w:bCs/>
          <w:sz w:val="24"/>
          <w:szCs w:val="24"/>
        </w:rPr>
        <w:t xml:space="preserve">KEY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Key Lessons — Complete Declarative Statements</w:t>
            </w:r>
          </w:p>
        </w:tc>
      </w:tr>
      <w:tr>
        <w:tc>
          <w:tcPr>
            <w:tcW w:type="dxa" w:w="936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sz w:val="20"/>
                <w:szCs w:val="20"/>
              </w:rPr>
              <w:t xml:space="preserve">1.  Ego is not pride — it is the confusion of who you are with what you have achieved, and that confusion becomes most dangerous precisely when success reinforces it.</w:t>
            </w:r>
          </w:p>
        </w:tc>
      </w:tr>
      <w:tr>
        <w:tc>
          <w:tcPr>
            <w:tcW w:type="dxa" w:w="936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sz w:val="20"/>
                <w:szCs w:val="20"/>
              </w:rPr>
              <w:t xml:space="preserve">2.  The self built on external validation — rank, recognition, and the approval of others — is the self that collapses when those things are removed.</w:t>
            </w:r>
          </w:p>
        </w:tc>
      </w:tr>
      <w:tr>
        <w:tc>
          <w:tcPr>
            <w:tcW w:type="dxa" w:w="936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sz w:val="20"/>
                <w:szCs w:val="20"/>
              </w:rPr>
              <w:t xml:space="preserve">3.  Aspiring, succeeding, and failing each carry their own form of ego trap; the discipline of self-awareness is not a one-time correction but a continuous practice.</w:t>
            </w:r>
          </w:p>
        </w:tc>
      </w:tr>
      <w:tr>
        <w:tc>
          <w:tcPr>
            <w:tcW w:type="dxa" w:w="936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sz w:val="20"/>
                <w:szCs w:val="20"/>
              </w:rPr>
              <w:t xml:space="preserve">4.  Remaining a student — genuinely open to instruction, correction, and the possibility of being wrong — is harder after success than before it, and more important.</w:t>
            </w:r>
          </w:p>
        </w:tc>
      </w:tr>
      <w:tr>
        <w:tc>
          <w:tcPr>
            <w:tcW w:type="dxa" w:w="936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sz w:val="20"/>
                <w:szCs w:val="20"/>
              </w:rPr>
              <w:t xml:space="preserve">5.  The work itself, done without the need for recognition, is the most durable form of identity a leader can build.</w:t>
            </w:r>
          </w:p>
        </w:tc>
      </w:tr>
    </w:tbl>
    <w:p>
      <w:pPr>
        <w:spacing w:after="80" w:before="80"/>
      </w:pPr>
    </w:p>
    <w:p>
      <w:pPr>
        <w:pBdr>
          <w:bottom w:val="single" w:color="2E4A8E" w:sz="4" w:space="1"/>
        </w:pBdr>
        <w:spacing w:after="120" w:before="120"/>
      </w:pPr>
    </w:p>
    <w:p>
      <w:pPr>
        <w:pStyle w:val="Heading1"/>
        <w:spacing w:after="120" w:before="240"/>
      </w:pPr>
      <w:r>
        <w:rPr>
          <w:rFonts w:ascii="Arial" w:cs="Arial" w:eastAsia="Arial" w:hAnsi="Arial"/>
          <w:b/>
          <w:bCs/>
          <w:sz w:val="28"/>
          <w:szCs w:val="28"/>
        </w:rPr>
        <w:t xml:space="preserve">Opening Hook</w:t>
      </w:r>
    </w:p>
    <w:p>
      <w:pPr>
        <w:spacing w:after="160" w:before="0"/>
      </w:pPr>
      <w:r>
        <w:rPr>
          <w:rFonts w:ascii="Arial" w:cs="Arial" w:eastAsia="Arial" w:hAnsi="Arial"/>
          <w:sz w:val="22"/>
          <w:szCs w:val="22"/>
        </w:rPr>
        <w:t xml:space="preserve">There is a particular failure pattern in military transition that does not get discussed enough because it is embarrassing to name. It is not the leader who struggles to find work, or who stumbles with civilian communication norms, or who misses the structure and purpose of service. It is the accomplished leader — respected, decorated, successful by every institutional measure — who arrives in a new environment and cannot stop leading from the identity of the rank they no longer hold.</w:t>
      </w:r>
    </w:p>
    <w:p>
      <w:pPr>
        <w:spacing w:after="160" w:before="0"/>
      </w:pPr>
      <w:r>
        <w:rPr>
          <w:rFonts w:ascii="Arial" w:cs="Arial" w:eastAsia="Arial" w:hAnsi="Arial"/>
          <w:sz w:val="22"/>
          <w:szCs w:val="22"/>
        </w:rPr>
        <w:t xml:space="preserve">The failure is not one of competence. It is one of identity. And the mechanism beneath it — the self that was built on position, recognition, and the validation of an institution — is precisely what Ryan Holiday examines in this book. He calls it ego. He is not talking about arrogance. He is talking about something subtler and more dangerous: the displacement of genuine self-knowledge by a borrowed sense of importance that feels like confidence right up until the external scaffolding falls away.</w:t>
      </w:r>
    </w:p>
    <w:p>
      <w:pPr>
        <w:spacing w:after="80" w:before="80"/>
      </w:pPr>
    </w:p>
    <w:p>
      <w:pPr>
        <w:pBdr>
          <w:bottom w:val="single" w:color="2E4A8E" w:sz="4" w:space="1"/>
        </w:pBdr>
        <w:spacing w:after="120" w:before="120"/>
      </w:pPr>
    </w:p>
    <w:p>
      <w:pPr>
        <w:pStyle w:val="Heading1"/>
        <w:spacing w:after="120" w:before="240"/>
      </w:pPr>
      <w:r>
        <w:rPr>
          <w:rFonts w:ascii="Arial" w:cs="Arial" w:eastAsia="Arial" w:hAnsi="Arial"/>
          <w:b/>
          <w:bCs/>
          <w:sz w:val="28"/>
          <w:szCs w:val="28"/>
        </w:rPr>
        <w:t xml:space="preserve">Book Analysis</w:t>
      </w:r>
    </w:p>
    <w:p>
      <w:pPr>
        <w:spacing w:after="160" w:before="0"/>
      </w:pPr>
      <w:r>
        <w:rPr>
          <w:rFonts w:ascii="Arial" w:cs="Arial" w:eastAsia="Arial" w:hAnsi="Arial"/>
          <w:i/>
          <w:iCs/>
          <w:sz w:val="22"/>
          <w:szCs w:val="22"/>
        </w:rPr>
        <w:t xml:space="preserve">What Holiday argues — and what the three-part structure of the book reveals about when ego does its most damage.</w:t>
      </w:r>
    </w:p>
    <w:p>
      <w:pPr>
        <w:spacing w:after="80" w:before="80"/>
      </w:pPr>
    </w:p>
    <w:p>
      <w:pPr>
        <w:pStyle w:val="Heading2"/>
        <w:spacing w:after="120" w:before="240"/>
      </w:pPr>
      <w:r>
        <w:rPr>
          <w:rFonts w:ascii="Arial" w:cs="Arial" w:eastAsia="Arial" w:hAnsi="Arial"/>
          <w:b/>
          <w:bCs/>
          <w:sz w:val="24"/>
          <w:szCs w:val="24"/>
        </w:rPr>
        <w:t xml:space="preserve">The Central Argument</w:t>
      </w:r>
    </w:p>
    <w:p>
      <w:pPr>
        <w:spacing w:after="160" w:before="0"/>
      </w:pPr>
      <w:r>
        <w:rPr>
          <w:rFonts w:ascii="Arial" w:cs="Arial" w:eastAsia="Arial" w:hAnsi="Arial"/>
          <w:sz w:val="22"/>
          <w:szCs w:val="22"/>
        </w:rPr>
        <w:t xml:space="preserve">Holiday’s central argument is built on a precise definition: ego is not pride or confidence, and it is not the same as a strong sense of self. Ego is the self that is constructed from the outside in — assembled from recognition, titles, achievement, and the approval of others rather than from genuine self-knowledge and chosen values. This distinction matters because it determines what happens when the external sources of that self are removed. A self built on character can survive the transition. A self built on position cannot — and often does not know it is at risk until the transition has already begun.</w:t>
      </w:r>
    </w:p>
    <w:p>
      <w:pPr>
        <w:spacing w:after="160" w:before="0"/>
      </w:pPr>
      <w:r>
        <w:rPr>
          <w:rFonts w:ascii="Arial" w:cs="Arial" w:eastAsia="Arial" w:hAnsi="Arial"/>
          <w:sz w:val="22"/>
          <w:szCs w:val="22"/>
        </w:rPr>
        <w:t xml:space="preserve">The book proceeds through three phases that Holiday identifies as the stages where ego does its most characteristic damage: aspiring, succeeding, and failing. In the aspiring phase, ego manifests as the substitution of talk and positioning for work — the premature sense of arrival that stops genuine learning. In the succeeding phase, it appears as the belief that success has been earned rather than partially fortuitous, and as the resistance to instruction that success tends to produce. In the failing phase — and this is the phase most relevant to the transition reader — ego prevents the honest accounting that failure and loss require, because an honest accounting would implicate the self that ego was built to protect.</w:t>
      </w:r>
    </w:p>
    <w:p>
      <w:pPr>
        <w:spacing w:after="80" w:before="80"/>
      </w:pPr>
    </w:p>
    <w:p>
      <w:pPr>
        <w:pStyle w:val="Heading2"/>
        <w:spacing w:after="120" w:before="240"/>
      </w:pPr>
      <w:r>
        <w:rPr>
          <w:rFonts w:ascii="Arial" w:cs="Arial" w:eastAsia="Arial" w:hAnsi="Arial"/>
          <w:b/>
          <w:bCs/>
          <w:sz w:val="24"/>
          <w:szCs w:val="24"/>
        </w:rPr>
        <w:t xml:space="preserve">Key Frameworks and Ideas</w:t>
      </w:r>
    </w:p>
    <w:p>
      <w:pPr>
        <w:spacing w:after="160" w:before="0"/>
      </w:pPr>
      <w:r>
        <w:rPr>
          <w:rFonts w:ascii="Arial" w:cs="Arial" w:eastAsia="Arial" w:hAnsi="Arial"/>
          <w:sz w:val="22"/>
          <w:szCs w:val="22"/>
        </w:rPr>
        <w:t xml:space="preserve">The most practically useful framework in the book is what Holiday calls the canvas strategy — the discipline of making other people look good, contributing without recognition, and doing work whose value does not depend on being seen doing it. This is not self-abnegation. It is the deliberate practice of rooting identity in the work itself rather than in the credit the work generates. For military leaders accustomed to operating within a clear hierarchy of recognition and advancement, the canvas strategy represents a genuine reorientation rather than a minor adjustment.</w:t>
      </w:r>
    </w:p>
    <w:p>
      <w:pPr>
        <w:spacing w:after="160" w:before="0"/>
      </w:pPr>
      <w:r>
        <w:rPr>
          <w:rFonts w:ascii="Arial" w:cs="Arial" w:eastAsia="Arial" w:hAnsi="Arial"/>
          <w:sz w:val="22"/>
          <w:szCs w:val="22"/>
        </w:rPr>
        <w:t xml:space="preserve">A second idea — the student mode — runs through the aspiring section and deserves attention in the transition context specifically. Holiday argues that the willingness to remain a student, genuinely open to correction and instruction, becomes harder precisely as success accumulates. Military leaders who arrive in civilian organizations with genuine expertise sometimes find themselves unable to learn the new terrain because the ego that success built cannot tolerate the position of not-yet-knowing. The student mode is not modesty for its own sake. It is the prerequisite for the learning that transition requires.</w:t>
      </w:r>
    </w:p>
    <w:p>
      <w:pPr>
        <w:spacing w:after="80" w:before="80"/>
      </w:pPr>
    </w:p>
    <w:p>
      <w:pPr>
        <w:spacing w:after="160" w:before="0"/>
      </w:pPr>
      <w:r>
        <w:rPr>
          <w:rFonts w:ascii="Arial" w:cs="Arial" w:eastAsia="Arial" w:hAnsi="Arial"/>
          <w:sz w:val="22"/>
          <w:szCs w:val="22"/>
        </w:rPr>
        <w:t xml:space="preserve">Holiday writes accessibly and draws on historical biography throughout — figures from Ulysses S. Grant to Angela Davis to Bill Walsh appear as illustrations of both the ego trap and its antidote. Some readers find the historical examples selective or the argument repetitive. That is a fair observation. The book is more a sustained reminder than a systematic analysis, and its power accumulates through reiteration rather than through progressive argument. Readers who prefer structured frameworks may find the Stoic aphoristic style less satisfying than the ideas themselves warrant.</w:t>
      </w:r>
    </w:p>
    <w:p>
      <w:pPr>
        <w:spacing w:after="80" w:before="80"/>
      </w:pPr>
    </w:p>
    <w:p>
      <w:pPr>
        <w:pBdr>
          <w:bottom w:val="single" w:color="2E4A8E" w:sz="4" w:space="1"/>
        </w:pBdr>
        <w:spacing w:after="120" w:before="120"/>
      </w:pPr>
    </w:p>
    <w:p>
      <w:pPr>
        <w:pStyle w:val="Heading1"/>
        <w:spacing w:after="120" w:before="240"/>
      </w:pPr>
      <w:r>
        <w:rPr>
          <w:rFonts w:ascii="Arial" w:cs="Arial" w:eastAsia="Arial" w:hAnsi="Arial"/>
          <w:b/>
          <w:bCs/>
          <w:sz w:val="28"/>
          <w:szCs w:val="28"/>
        </w:rPr>
        <w:t xml:space="preserve">Leadership Transition Commentary</w:t>
      </w:r>
    </w:p>
    <w:p>
      <w:pPr>
        <w:spacing w:after="160" w:before="0"/>
      </w:pPr>
      <w:r>
        <w:rPr>
          <w:rFonts w:ascii="Arial" w:cs="Arial" w:eastAsia="Arial" w:hAnsi="Arial"/>
          <w:i/>
          <w:iCs/>
          <w:sz w:val="22"/>
          <w:szCs w:val="22"/>
        </w:rPr>
        <w:t xml:space="preserve">Why this diagnosis is the most practically urgent in the library for the military leader at the threshold of separation.</w:t>
      </w:r>
    </w:p>
    <w:p>
      <w:pPr>
        <w:spacing w:after="80" w:before="80"/>
      </w:pPr>
    </w:p>
    <w:p>
      <w:pPr>
        <w:spacing w:after="160" w:before="0"/>
      </w:pPr>
      <w:r>
        <w:rPr>
          <w:rFonts w:ascii="Arial" w:cs="Arial" w:eastAsia="Arial" w:hAnsi="Arial"/>
          <w:sz w:val="22"/>
          <w:szCs w:val="22"/>
        </w:rPr>
        <w:t xml:space="preserve">Military service does something unusual to identity. It provides, for years and sometimes decades, all the external materials from which ego can be constructed: clear rank, unambiguous hierarchy, regular and public recognition, a community whose values you share and whose respect you have earned, and a mission whose importance is never in doubt. These are not small things. They are, by any measure, a deeply meaningful context in which to build a life. The problem is not that they exist. The problem is what happens to the self when they are removed.</w:t>
      </w:r>
    </w:p>
    <w:p>
      <w:pPr>
        <w:spacing w:after="160" w:before="0"/>
      </w:pPr>
      <w:r>
        <w:rPr>
          <w:rFonts w:ascii="Arial" w:cs="Arial" w:eastAsia="Arial" w:hAnsi="Arial"/>
          <w:sz w:val="22"/>
          <w:szCs w:val="22"/>
        </w:rPr>
        <w:t xml:space="preserve">Holiday’s book is useful here because it names the mechanism, not just the experience. The military leader who arrives in a civilian organization and immediately begins signaling their former rank, who bridles at being asked to learn rather than lead, who cannot resist framing every observation through the lens of what their service experience taught them — that leader is not being arrogant in any simple sense. They are experiencing the exposure of an ego that was always there, kept invisible by an environment that constantly confirmed it. The ego was not a flaw. It was a reasonable construction from the available materials. What transition requires is the recognition that those materials are no longer load-bearing.</w:t>
      </w:r>
    </w:p>
    <w:p>
      <w:pPr>
        <w:spacing w:after="160" w:before="0"/>
      </w:pPr>
      <w:r>
        <w:rPr>
          <w:rFonts w:ascii="Arial" w:cs="Arial" w:eastAsia="Arial" w:hAnsi="Arial"/>
          <w:sz w:val="22"/>
          <w:szCs w:val="22"/>
        </w:rPr>
        <w:t xml:space="preserve">There is an additional dimension specific to military leaders that Holiday does not address directly but that the book illuminates clearly when applied: the relationship between service and ego. Military culture is, at its best, genuinely selfless — the ethos of service before self is real, and most military leaders mean it. But service before self can coexist with a deeply ego-dependent identity, because the ego in this context is not constructed from selfishness but from institutional belonging. The leader who was selfless in service can still be profoundly attached to the rank and recognition that the institution provided. Transition reveals that attachment in ways that service never did.</w:t>
      </w:r>
    </w:p>
    <w:p>
      <w:pPr>
        <w:spacing w:after="160" w:before="0"/>
      </w:pPr>
      <w:r>
        <w:rPr>
          <w:rFonts w:ascii="Arial" w:cs="Arial" w:eastAsia="Arial" w:hAnsi="Arial"/>
          <w:sz w:val="22"/>
          <w:szCs w:val="22"/>
        </w:rPr>
        <w:t xml:space="preserve">What Holiday offers the transition reader is not a solution to this but a framework for recognizing it early. The failure phase of his three-part structure — the section on ego and failure — is the most important reading for anyone in active transition. The specific ego trap he identifies there is the refusal to learn from loss because learning would require acknowledging that the loss revealed something true. For the military leader who defined their competence through institutional recognition, the silence after the ceremony is the beginning of a test of what that competence was actually built on.</w:t>
      </w:r>
    </w:p>
    <w:p>
      <w:pPr>
        <w:spacing w:after="160" w:before="0"/>
      </w:pPr>
      <w:r>
        <w:rPr>
          <w:rFonts w:ascii="Arial" w:cs="Arial" w:eastAsia="Arial" w:hAnsi="Arial"/>
          <w:sz w:val="22"/>
          <w:szCs w:val="22"/>
        </w:rPr>
        <w:t xml:space="preserve">One honest tension worth naming: Holiday’s prescription — do the work without needing recognition, remain the student, practice the canvas strategy — is correct but abstract. The book is better at naming the problem than at describing the path from the identified problem to the healthier self. That is not a disqualifying limitation. It is a reason to read this book alongside the others in this cluster. Frankl provides the existential foundation; Aurelius provides the philosophical practice; Holiday provides the diagnosis. The three together form a more complete picture than any of them does alone.</w:t>
      </w:r>
    </w:p>
    <w:p>
      <w:pPr>
        <w:spacing w:after="80" w:before="80"/>
      </w:pPr>
    </w:p>
    <w:p>
      <w:pPr>
        <w:pBdr>
          <w:bottom w:val="single" w:color="2E4A8E" w:sz="4" w:space="1"/>
        </w:pBdr>
        <w:spacing w:after="120" w:before="120"/>
      </w:pPr>
    </w:p>
    <w:p>
      <w:pPr>
        <w:pStyle w:val="Heading1"/>
        <w:spacing w:after="120" w:before="240"/>
      </w:pPr>
      <w:r>
        <w:rPr>
          <w:rFonts w:ascii="Arial" w:cs="Arial" w:eastAsia="Arial" w:hAnsi="Arial"/>
          <w:b/>
          <w:bCs/>
          <w:sz w:val="28"/>
          <w:szCs w:val="28"/>
        </w:rPr>
        <w:t xml:space="preserve">Practical Applications</w:t>
      </w:r>
    </w:p>
    <w:p>
      <w:pPr>
        <w:spacing w:after="160" w:before="0"/>
      </w:pPr>
      <w:r>
        <w:rPr>
          <w:rFonts w:ascii="Arial" w:cs="Arial" w:eastAsia="Arial" w:hAnsi="Arial"/>
          <w:i/>
          <w:iCs/>
          <w:sz w:val="22"/>
          <w:szCs w:val="22"/>
        </w:rPr>
        <w:t xml:space="preserve">Five specific ways to apply Holiday’s framework — before, during, and after the transition.</w:t>
      </w:r>
    </w:p>
    <w:p>
      <w:pPr>
        <w:spacing w:after="80" w:before="80"/>
      </w:pPr>
    </w:p>
    <w:p>
      <w:pPr>
        <w:spacing w:after="80" w:before="80"/>
        <w:ind w:left="360" w:hanging="200"/>
      </w:pPr>
      <w:r>
        <w:rPr>
          <w:rFonts w:ascii="Arial" w:cs="Arial" w:eastAsia="Arial" w:hAnsi="Arial"/>
          <w:sz w:val="22"/>
          <w:szCs w:val="22"/>
        </w:rPr>
        <w:t xml:space="preserve">•  </w:t>
      </w:r>
      <w:r>
        <w:rPr>
          <w:rFonts w:ascii="Arial" w:cs="Arial" w:eastAsia="Arial" w:hAnsi="Arial"/>
          <w:sz w:val="22"/>
          <w:szCs w:val="22"/>
        </w:rPr>
        <w:t xml:space="preserve">Map your identity dependencies before you leave. For each source of recognition and validation in your current environment — rank, unit affiliation, reputation, the specific people whose respect you have earned — ask which of these will transfer to a new context and which will not. The items that will not transfer are not losses to be mourned; they are the locations of the ego-work that transition will require. Better to know now than to discover it under pressure.</w:t>
      </w:r>
    </w:p>
    <w:p>
      <w:pPr>
        <w:spacing w:after="80" w:before="80"/>
        <w:ind w:left="360" w:hanging="200"/>
      </w:pPr>
      <w:r>
        <w:rPr>
          <w:rFonts w:ascii="Arial" w:cs="Arial" w:eastAsia="Arial" w:hAnsi="Arial"/>
          <w:sz w:val="22"/>
          <w:szCs w:val="22"/>
        </w:rPr>
        <w:t xml:space="preserve">•  </w:t>
      </w:r>
      <w:r>
        <w:rPr>
          <w:rFonts w:ascii="Arial" w:cs="Arial" w:eastAsia="Arial" w:hAnsi="Arial"/>
          <w:sz w:val="22"/>
          <w:szCs w:val="22"/>
        </w:rPr>
        <w:t xml:space="preserve">Practice the canvas strategy in your current environment while you still have the rank. Identify one person in your chain — junior to you, newer to the work — and spend thirty days making their contribution more visible than your own in that domain. Notice how it feels. The discomfort, if it appears, is informative. The ease, if it appears, is a resource you can carry forward.</w:t>
      </w:r>
    </w:p>
    <w:p>
      <w:pPr>
        <w:spacing w:after="80" w:before="80"/>
        <w:ind w:left="360" w:hanging="200"/>
      </w:pPr>
      <w:r>
        <w:rPr>
          <w:rFonts w:ascii="Arial" w:cs="Arial" w:eastAsia="Arial" w:hAnsi="Arial"/>
          <w:sz w:val="22"/>
          <w:szCs w:val="22"/>
        </w:rPr>
        <w:t xml:space="preserve">•  </w:t>
      </w:r>
      <w:r>
        <w:rPr>
          <w:rFonts w:ascii="Arial" w:cs="Arial" w:eastAsia="Arial" w:hAnsi="Arial"/>
          <w:sz w:val="22"/>
          <w:szCs w:val="22"/>
        </w:rPr>
        <w:t xml:space="preserve">Adopt the student posture explicitly in your first ninety days in any new environment. When you find yourself beginning a sentence with the phrase “in the military, we always” or “in my experience,” stop. Ask instead what this environment does, and why, and what that might be worth learning. The expertise you carry is real. The student mode is not its denial — it is the practice that keeps you from letting it close off the learning the new context requires.</w:t>
      </w:r>
    </w:p>
    <w:p>
      <w:pPr>
        <w:spacing w:after="80" w:before="80"/>
        <w:ind w:left="360" w:hanging="200"/>
      </w:pPr>
      <w:r>
        <w:rPr>
          <w:rFonts w:ascii="Arial" w:cs="Arial" w:eastAsia="Arial" w:hAnsi="Arial"/>
          <w:sz w:val="22"/>
          <w:szCs w:val="22"/>
        </w:rPr>
        <w:t xml:space="preserve">•  </w:t>
      </w:r>
      <w:r>
        <w:rPr>
          <w:rFonts w:ascii="Arial" w:cs="Arial" w:eastAsia="Arial" w:hAnsi="Arial"/>
          <w:sz w:val="22"/>
          <w:szCs w:val="22"/>
        </w:rPr>
        <w:t xml:space="preserve">When transition produces a genuine setback — a rejection, a role that proves wrong, a relationship that does not survive the change in status — apply Holiday’s failure framework before reaching for explanation. The ego’s reflex in failure is to locate the cause outside the self. The more productive question is: what does this experience reveal that I have been avoiding? That question does not require self-blame. It requires honesty.</w:t>
      </w:r>
    </w:p>
    <w:p>
      <w:pPr>
        <w:spacing w:after="80" w:before="80"/>
        <w:ind w:left="360" w:hanging="200"/>
      </w:pPr>
      <w:r>
        <w:rPr>
          <w:rFonts w:ascii="Arial" w:cs="Arial" w:eastAsia="Arial" w:hAnsi="Arial"/>
          <w:sz w:val="22"/>
          <w:szCs w:val="22"/>
        </w:rPr>
        <w:t xml:space="preserve">•  </w:t>
      </w:r>
      <w:r>
        <w:rPr>
          <w:rFonts w:ascii="Arial" w:cs="Arial" w:eastAsia="Arial" w:hAnsi="Arial"/>
          <w:sz w:val="22"/>
          <w:szCs w:val="22"/>
        </w:rPr>
        <w:t xml:space="preserve">Read this book in sequence with Man’s Search for Meaning and Meditations. Holiday’s diagnosis lands differently when the reader already has Frankl’s framework for what identity built on meaning looks like and Aurelius’s practice for maintaining character separate from circumstance. Without that foundation, the book can read as a call to perform humility. With it, it reads as a specific account of the obstacle between the self you have been and the self the next chapter requires.</w:t>
      </w:r>
    </w:p>
    <w:p>
      <w:pPr>
        <w:spacing w:after="80" w:before="80"/>
      </w:pPr>
    </w:p>
    <w:p>
      <w:pPr>
        <w:pBdr>
          <w:bottom w:val="single" w:color="2E4A8E" w:sz="4" w:space="1"/>
        </w:pBdr>
        <w:spacing w:after="120" w:before="120"/>
      </w:pPr>
    </w:p>
    <w:p>
      <w:pPr>
        <w:pStyle w:val="Heading1"/>
        <w:spacing w:after="120" w:before="240"/>
      </w:pPr>
      <w:r>
        <w:rPr>
          <w:rFonts w:ascii="Arial" w:cs="Arial" w:eastAsia="Arial" w:hAnsi="Arial"/>
          <w:b/>
          <w:bCs/>
          <w:sz w:val="28"/>
          <w:szCs w:val="28"/>
        </w:rPr>
        <w:t xml:space="preserve">Reflection Questions</w:t>
      </w:r>
    </w:p>
    <w:p>
      <w:pPr>
        <w:spacing w:after="160" w:before="0"/>
      </w:pPr>
      <w:r>
        <w:rPr>
          <w:rFonts w:ascii="Arial" w:cs="Arial" w:eastAsia="Arial" w:hAnsi="Arial"/>
          <w:i/>
          <w:iCs/>
          <w:sz w:val="22"/>
          <w:szCs w:val="22"/>
        </w:rPr>
        <w:t xml:space="preserve">Four questions for honest self-examination.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20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Question</w:t>
            </w:r>
          </w:p>
        </w:tc>
      </w:tr>
      <w:tr>
        <w:tc>
          <w:tcPr>
            <w:tcW w:type="dxa" w:w="216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b/>
                <w:bCs/>
                <w:sz w:val="20"/>
                <w:szCs w:val="20"/>
              </w:rPr>
              <w:t xml:space="preserve">Identity &amp; Self-Awareness</w:t>
            </w:r>
          </w:p>
        </w:tc>
        <w:tc>
          <w:tcPr>
            <w:tcW w:type="dxa" w:w="720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sz w:val="20"/>
                <w:szCs w:val="20"/>
              </w:rPr>
              <w:t xml:space="preserve">If you were to separate the parts of your professional identity that are built on who you are from the parts that are built on what you hold — the rank, the reputation, the institutional belonging — which parts survive?</w:t>
            </w:r>
          </w:p>
        </w:tc>
      </w:tr>
      <w:tr>
        <w:tc>
          <w:tcPr>
            <w:tcW w:type="dxa" w:w="216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b/>
                <w:bCs/>
                <w:sz w:val="20"/>
                <w:szCs w:val="20"/>
              </w:rPr>
              <w:t xml:space="preserve">Transition Experience</w:t>
            </w:r>
          </w:p>
        </w:tc>
        <w:tc>
          <w:tcPr>
            <w:tcW w:type="dxa" w:w="720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sz w:val="20"/>
                <w:szCs w:val="20"/>
              </w:rPr>
              <w:t xml:space="preserve">Holiday describes the ego trap in failure as the refusal to learn because learning requires acknowledging what the loss revealed. Is there something about your transition, or about your approach to the work ahead, that you have been explaining outward rather than examining inward? What would an honest accounting of it look like?</w:t>
            </w:r>
          </w:p>
        </w:tc>
      </w:tr>
      <w:tr>
        <w:tc>
          <w:tcPr>
            <w:tcW w:type="dxa" w:w="216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b/>
                <w:bCs/>
                <w:sz w:val="20"/>
                <w:szCs w:val="20"/>
              </w:rPr>
              <w:t xml:space="preserve">Purpose &amp; Legacy</w:t>
            </w:r>
          </w:p>
        </w:tc>
        <w:tc>
          <w:tcPr>
            <w:tcW w:type="dxa" w:w="720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sz w:val="20"/>
                <w:szCs w:val="20"/>
              </w:rPr>
              <w:t xml:space="preserve">The canvas strategy — contributing without requiring recognition — is the positive discipline Holiday offers against ego. What would it look like for you to apply that discipline in the next chapter? Who are the people whose work you could support, amplify, or advance without it needing to reflect on you?</w:t>
            </w:r>
          </w:p>
        </w:tc>
      </w:tr>
      <w:tr>
        <w:tc>
          <w:tcPr>
            <w:tcW w:type="dxa" w:w="216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b/>
                <w:bCs/>
                <w:sz w:val="20"/>
                <w:szCs w:val="20"/>
              </w:rPr>
              <w:t xml:space="preserve">Book-Specific Application</w:t>
            </w:r>
          </w:p>
        </w:tc>
        <w:tc>
          <w:tcPr>
            <w:tcW w:type="dxa" w:w="720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sz w:val="20"/>
                <w:szCs w:val="20"/>
              </w:rPr>
              <w:t xml:space="preserve">Think of one person in your career whose leadership you respected without reservation — someone whose authority had nothing to do with their rank and everything to do with who they were. What specifically made their identity feel rooted rather than borrowed? What would it require for you to build that same quality in yourself now?</w:t>
            </w:r>
          </w:p>
        </w:tc>
      </w:tr>
    </w:tbl>
    <w:p>
      <w:pPr>
        <w:spacing w:after="80" w:before="80"/>
      </w:pPr>
    </w:p>
    <w:p>
      <w:pPr>
        <w:pBdr>
          <w:bottom w:val="single" w:color="2E4A8E" w:sz="4" w:space="1"/>
        </w:pBdr>
        <w:spacing w:after="120" w:before="120"/>
      </w:pPr>
    </w:p>
    <w:p>
      <w:pPr>
        <w:pStyle w:val="Heading1"/>
        <w:spacing w:after="120" w:before="240"/>
      </w:pPr>
      <w:r>
        <w:rPr>
          <w:rFonts w:ascii="Arial" w:cs="Arial" w:eastAsia="Arial" w:hAnsi="Arial"/>
          <w:b/>
          <w:bCs/>
          <w:sz w:val="28"/>
          <w:szCs w:val="28"/>
        </w:rPr>
        <w:t xml:space="preserve">Cross-Book Wisdom Connections</w:t>
      </w:r>
    </w:p>
    <w:p>
      <w:pPr>
        <w:spacing w:after="160" w:before="0"/>
      </w:pPr>
      <w:r>
        <w:rPr>
          <w:rFonts w:ascii="Arial" w:cs="Arial" w:eastAsia="Arial" w:hAnsi="Arial"/>
          <w:i/>
          <w:iCs/>
          <w:sz w:val="22"/>
          <w:szCs w:val="22"/>
        </w:rPr>
        <w:t xml:space="preserve">Ego Is the Enemy sits at the junction of identity and character — the point where the question of who you are meets the question of what you practice daily. As the third entry in the library’s opening identity trilogy, its connections run both backward into the philosophical foundations already established and outward into traditions and methodologies that arrive at the same diagnosis from entirely different directions.</w:t>
      </w:r>
    </w:p>
    <w:p>
      <w:pPr>
        <w:spacing w:after="80" w:before="80"/>
      </w:pPr>
    </w:p>
    <w:p>
      <w:pPr>
        <w:pStyle w:val="Heading2"/>
        <w:spacing w:after="120" w:before="240"/>
      </w:pPr>
      <w:r>
        <w:rPr>
          <w:rFonts w:ascii="Arial" w:cs="Arial" w:eastAsia="Arial" w:hAnsi="Arial"/>
          <w:b/>
          <w:bCs/>
          <w:sz w:val="24"/>
          <w:szCs w:val="24"/>
        </w:rPr>
        <w:t xml:space="preserve">Connection 1 — Meditations by Marcus Aurelius  [Extension · Identity + Character]</w:t>
      </w:r>
    </w:p>
    <w:p>
      <w:pPr>
        <w:spacing w:after="160" w:before="0"/>
      </w:pPr>
      <w:r>
        <w:rPr>
          <w:rFonts w:ascii="Arial" w:cs="Arial" w:eastAsia="Arial" w:hAnsi="Arial"/>
          <w:sz w:val="22"/>
          <w:szCs w:val="22"/>
        </w:rPr>
        <w:t xml:space="preserve">Holiday wrote this book as an explicit modern application of Stoic philosophy, with Aurelius as his primary source. The relationship is direct enough that treating them as separate books risks missing the depth of their connection: Holiday’s definition of ego — the confusion of who you are with what you have achieved — is a translation of an argument Aurelius makes repeatedly in the Meditations, in his own vocabulary. The specific shared claim is that the self built on external recognition is not a self at all in the sense that matters — it is a performance of self, dependent on an audience that can always leave.</w:t>
      </w:r>
    </w:p>
    <w:p>
      <w:pPr>
        <w:spacing w:after="160" w:before="0"/>
      </w:pPr>
      <w:r>
        <w:rPr>
          <w:rFonts w:ascii="Arial" w:cs="Arial" w:eastAsia="Arial" w:hAnsi="Arial"/>
          <w:sz w:val="22"/>
          <w:szCs w:val="22"/>
        </w:rPr>
        <w:t xml:space="preserve">What each book contributes distinctly: Aurelius provides the philosophical foundation and the daily practice — the discipline of separating person from position through continuous private examination. Holiday provides the modern diagnostic vocabulary and the specific stages at which the failure occurs. Together they form the most complete treatment of ego-based identity collapse in the library. The synthesis observation is this: the argument has been made, in different language, by someone who held supreme power and by someone writing in the 21st century. That is not coincidence. It is the persistence of a discovered truth.</w:t>
      </w:r>
    </w:p>
    <w:p>
      <w:pPr>
        <w:spacing w:after="80" w:before="80"/>
      </w:pPr>
    </w:p>
    <w:p>
      <w:pPr>
        <w:pStyle w:val="Heading2"/>
        <w:spacing w:after="120" w:before="240"/>
      </w:pPr>
      <w:r>
        <w:rPr>
          <w:rFonts w:ascii="Arial" w:cs="Arial" w:eastAsia="Arial" w:hAnsi="Arial"/>
          <w:b/>
          <w:bCs/>
          <w:sz w:val="24"/>
          <w:szCs w:val="24"/>
        </w:rPr>
        <w:t xml:space="preserve">Connection 2 — Leadership and Self-Deception by The Arbinger Institute  [Diagnostic Pair · Identity + Character]</w:t>
      </w:r>
    </w:p>
    <w:p>
      <w:pPr>
        <w:spacing w:after="160" w:before="0"/>
      </w:pPr>
      <w:r>
        <w:rPr>
          <w:rFonts w:ascii="Arial" w:cs="Arial" w:eastAsia="Arial" w:hAnsi="Arial"/>
          <w:sz w:val="22"/>
          <w:szCs w:val="22"/>
        </w:rPr>
        <w:t xml:space="preserve">The Arbinger Institute approaches the same fundamental problem as Holiday from an entirely different intellectual tradition — organizational psychology rather than Stoic philosophy. What Arbinger calls being in the box is the condition of a leader so invested in a self-justifying narrative that they can no longer see other people accurately. What Holiday calls ego is the mechanism that produces and maintains that narrative. The two books are not saying the same thing, but they are diagnosing the same underlying condition: the leader whose self-image has become so protected that genuine self-examination is no longer available to them.</w:t>
      </w:r>
    </w:p>
    <w:p>
      <w:pPr>
        <w:spacing w:after="160" w:before="0"/>
      </w:pPr>
      <w:r>
        <w:rPr>
          <w:rFonts w:ascii="Arial" w:cs="Arial" w:eastAsia="Arial" w:hAnsi="Arial"/>
          <w:sz w:val="22"/>
          <w:szCs w:val="22"/>
        </w:rPr>
        <w:t xml:space="preserve">The Diagnostic Pair relationship is precise: Holiday names the phenomenon and its structure; Arbinger explains the specific relational and perceptual distortions it produces. A military leader reading both books finds that ego, as Holiday describes it, is not merely a private orientation — it is an interpersonal failure mode that manifests in how one sees and treats the people around them. The synthesis: self-deception and ego are two perspectives on the same blind spot, and a leader who addresses only one has not finished the work.</w:t>
      </w:r>
    </w:p>
    <w:p>
      <w:pPr>
        <w:spacing w:after="80" w:before="80"/>
      </w:pPr>
    </w:p>
    <w:p>
      <w:pPr>
        <w:pStyle w:val="Heading2"/>
        <w:spacing w:after="120" w:before="240"/>
      </w:pPr>
      <w:r>
        <w:rPr>
          <w:rFonts w:ascii="Arial" w:cs="Arial" w:eastAsia="Arial" w:hAnsi="Arial"/>
          <w:b/>
          <w:bCs/>
          <w:sz w:val="24"/>
          <w:szCs w:val="24"/>
        </w:rPr>
        <w:t xml:space="preserve">Connection 3 — The Book of Five Rings by Miyamoto Musashi  [Tradition Bridge · Character + Adaptability]</w:t>
      </w:r>
    </w:p>
    <w:p>
      <w:pPr>
        <w:spacing w:after="160" w:before="0"/>
      </w:pPr>
      <w:r>
        <w:rPr>
          <w:rFonts w:ascii="Arial" w:cs="Arial" w:eastAsia="Arial" w:hAnsi="Arial"/>
          <w:sz w:val="22"/>
          <w:szCs w:val="22"/>
        </w:rPr>
        <w:t xml:space="preserve">Musashi wrote in 17th-century Japan, in the tradition of the warrior-scholar, and the Book of Five Rings is not a book about identity in any modern psychological sense. It is a book about mastery — about the complete subordination of the self to the demands of the work. Yet the convergence with Holiday is exact on one specific point: Musashi argues, persistently, that attachment to technique, reputation, and the appearances of mastery is the enemy of genuine mastery. The swordsman who fights to look skilled is not fighting well. The parallel to Holiday’s ego trap — the leader who performs leadership rather than practicing it — runs through the Five Rings without Musashi ever using Holiday’s vocabulary.</w:t>
      </w:r>
    </w:p>
    <w:p>
      <w:pPr>
        <w:spacing w:after="160" w:before="0"/>
      </w:pPr>
      <w:r>
        <w:rPr>
          <w:rFonts w:ascii="Arial" w:cs="Arial" w:eastAsia="Arial" w:hAnsi="Arial"/>
          <w:sz w:val="22"/>
          <w:szCs w:val="22"/>
        </w:rPr>
        <w:t xml:space="preserve">The Tradition Bridge here crosses five centuries and a substantial cultural distance, from a contemporary American author drawing on ancient Rome to a medieval Japanese warrior-philosopher. What the bridge reveals is that the distinction between genuine mastery and its performance — between identity built on the work and identity built on its recognition — is not a product of any single tradition. It is a finding that serious practitioners across very different contexts have arrived at independently. For the military leader who has spent a career developing genuine mastery, the distinction Musashi draws is the most direct practical guidance on what that mastery is actually for.</w:t>
      </w:r>
    </w:p>
    <w:p>
      <w:pPr>
        <w:spacing w:after="80" w:before="80"/>
      </w:pPr>
    </w:p>
    <w:p>
      <w:pPr>
        <w:pStyle w:val="Heading2"/>
        <w:spacing w:after="120" w:before="240"/>
      </w:pPr>
      <w:r>
        <w:rPr>
          <w:rFonts w:ascii="Arial" w:cs="Arial" w:eastAsia="Arial" w:hAnsi="Arial"/>
          <w:b/>
          <w:bCs/>
          <w:sz w:val="24"/>
          <w:szCs w:val="24"/>
        </w:rPr>
        <w:t xml:space="preserve">Connection 4 — Man’s Search for Meaning by Viktor Frankl  [Convergence · Identity + Resilience]</w:t>
      </w:r>
    </w:p>
    <w:p>
      <w:pPr>
        <w:spacing w:after="160" w:before="0"/>
      </w:pPr>
      <w:r>
        <w:rPr>
          <w:rFonts w:ascii="Arial" w:cs="Arial" w:eastAsia="Arial" w:hAnsi="Arial"/>
          <w:sz w:val="22"/>
          <w:szCs w:val="22"/>
        </w:rPr>
        <w:t xml:space="preserve">The connection between Holiday and Frankl is not the most obvious in the library, but it may be the most important for the transition reader. Holiday’s diagnosis is of the ego that collapses when external validation is removed. Frankl’s framework is of the identity that survives when everything external is stripped away — not because it was particularly strong, but because it was rooted in meaning rather than in position. Together, the two books define the problem and its antidote with a precision that neither provides alone.</w:t>
      </w:r>
    </w:p>
    <w:p>
      <w:pPr>
        <w:spacing w:after="160" w:before="0"/>
      </w:pPr>
      <w:r>
        <w:rPr>
          <w:rFonts w:ascii="Arial" w:cs="Arial" w:eastAsia="Arial" w:hAnsi="Arial"/>
          <w:sz w:val="22"/>
          <w:szCs w:val="22"/>
        </w:rPr>
        <w:t xml:space="preserve">The specific convergence: both books argue that the self built on external sources is fragile — Holiday through Stoic diagnosis, Frankl through existential witness. But where Holiday’s book is primarily a warning, Frankl’s is primarily a framework for what to build instead. The synthesis observation for the identity trilogy as a whole — Frankl, Aurelius, Holiday — is this: three authors from three different traditions, writing across eight decades, all identify the same vulnerability and all point toward the same alternative. The self that survives is the one that was never borrowed from an institution to begin with. That convergence, across traditions and centuries, is the closest thing this library has to proof.</w:t>
      </w:r>
    </w:p>
    <w:p>
      <w:pPr>
        <w:spacing w:after="80" w:before="80"/>
      </w:pPr>
    </w:p>
    <w:p>
      <w:pPr>
        <w:pBdr>
          <w:bottom w:val="single" w:color="2E4A8E" w:sz="4" w:space="1"/>
        </w:pBdr>
        <w:spacing w:after="120" w:before="120"/>
      </w:pPr>
    </w:p>
    <w:p>
      <w:pPr>
        <w:pStyle w:val="Heading1"/>
        <w:spacing w:after="120" w:before="240"/>
      </w:pPr>
      <w:r>
        <w:rPr>
          <w:rFonts w:ascii="Arial" w:cs="Arial" w:eastAsia="Arial" w:hAnsi="Arial"/>
          <w:b/>
          <w:bCs/>
          <w:sz w:val="28"/>
          <w:szCs w:val="28"/>
        </w:rPr>
        <w:t xml:space="preserve">Closing Reflection</w:t>
      </w:r>
    </w:p>
    <w:p>
      <w:pPr>
        <w:spacing w:after="160" w:before="0"/>
      </w:pPr>
      <w:r>
        <w:rPr>
          <w:rFonts w:ascii="Arial" w:cs="Arial" w:eastAsia="Arial" w:hAnsi="Arial"/>
          <w:sz w:val="22"/>
          <w:szCs w:val="22"/>
        </w:rPr>
        <w:t xml:space="preserve">The transition moment that Holiday’s book is ultimately about is not the one that happens when the uniform comes off. It happened earlier — in the small choices, made over years, about whether identity was being built on something durable or on something borrowed. Most leaders do not make those choices consciously. The institution provides the external material so naturally, and confirms it so consistently, that the question of what lies underneath it rarely feels urgent until urgency has arrived.</w:t>
      </w:r>
    </w:p>
    <w:p>
      <w:pPr>
        <w:spacing w:after="160" w:before="0"/>
      </w:pPr>
      <w:r>
        <w:rPr>
          <w:rFonts w:ascii="Arial" w:cs="Arial" w:eastAsia="Arial" w:hAnsi="Arial"/>
          <w:sz w:val="22"/>
          <w:szCs w:val="22"/>
        </w:rPr>
        <w:t xml:space="preserve">What this book offers is not guilt about what was built under those conditions. It offers a way of seeing it clearly. The ego that accumulated over a career of genuine service is not evidence of failure. It is evidence that you were fully present in an environment that rewarded presence. The task now is not to condemn what that environment produced but to examine it honestly, understand which parts of it were always yours and which parts belonged to the institution, and begin the work of building the rest.</w:t>
      </w:r>
    </w:p>
    <w:p>
      <w:pPr>
        <w:spacing w:after="160" w:before="0"/>
      </w:pPr>
      <w:r>
        <w:rPr>
          <w:rFonts w:ascii="Arial" w:cs="Arial" w:eastAsia="Arial" w:hAnsi="Arial"/>
          <w:sz w:val="22"/>
          <w:szCs w:val="22"/>
        </w:rPr>
        <w:t xml:space="preserve">That work is not fast, and it is not finished in a single reading or a single year. But it is the work that makes the next chapter legible — the work that turns a career into a foundation rather than a reference point. The leaders who carry their effectiveness across the threshold are not the ones who had the least ego. They are the ones who learned to see it clearly. That clarity is available to you now.</w:t>
      </w:r>
    </w:p>
    <w:p>
      <w:pPr>
        <w:spacing w:after="80" w:before="80"/>
      </w:pPr>
    </w:p>
    <w:p>
      <w:pPr>
        <w:pBdr>
          <w:bottom w:val="single" w:color="2E4A8E" w:sz="4" w:space="1"/>
        </w:pBdr>
        <w:spacing w:after="120" w:before="120"/>
      </w:pPr>
    </w:p>
    <w:p>
      <w:pPr>
        <w:pStyle w:val="Heading1"/>
        <w:spacing w:after="120" w:before="240"/>
      </w:pPr>
      <w:r>
        <w:rPr>
          <w:rFonts w:ascii="Arial" w:cs="Arial" w:eastAsia="Arial" w:hAnsi="Arial"/>
          <w:b/>
          <w:bCs/>
          <w:sz w:val="28"/>
          <w:szCs w:val="28"/>
        </w:rPr>
        <w:t xml:space="preserve">Related Books</w:t>
      </w:r>
    </w:p>
    <w:p>
      <w:pPr>
        <w:spacing w:after="160" w:before="0"/>
      </w:pPr>
      <w:r>
        <w:rPr>
          <w:rFonts w:ascii="Arial" w:cs="Arial" w:eastAsia="Arial" w:hAnsi="Arial"/>
          <w:i/>
          <w:iCs/>
          <w:sz w:val="22"/>
          <w:szCs w:val="22"/>
        </w:rPr>
        <w:t xml:space="preserve">These titles form the complete identity cluster and its nearest applications. Each extends the work this entry begins in a specific direction.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Book &amp; Author</w:t>
            </w:r>
          </w:p>
        </w:tc>
        <w:tc>
          <w:tcPr>
            <w:tcW w:type="dxa" w:w="5760"/>
            <w:tcBorders>
              <w:top w:val="single" w:color="8EAADB" w:sz="1"/>
              <w:left w:val="single" w:color="8EAADB" w:sz="1"/>
              <w:bottom w:val="single" w:color="8EAADB" w:sz="1"/>
              <w:right w:val="single" w:color="8EAADB" w:sz="1"/>
            </w:tcBorders>
            <w:shd w:fill="D9E2F3" w:val="clear"/>
            <w:tcMar>
              <w:top w:type="dxa" w:w="80"/>
              <w:left w:type="dxa" w:w="120"/>
              <w:bottom w:type="dxa" w:w="80"/>
              <w:right w:type="dxa" w:w="120"/>
            </w:tcMar>
          </w:tcPr>
          <w:p>
            <w:r>
              <w:rPr>
                <w:rFonts w:ascii="Arial" w:cs="Arial" w:eastAsia="Arial" w:hAnsi="Arial"/>
                <w:b/>
                <w:bCs/>
                <w:sz w:val="20"/>
                <w:szCs w:val="20"/>
              </w:rPr>
              <w:t xml:space="preserve">Why the Connection Matters for This Reader</w:t>
            </w:r>
          </w:p>
        </w:tc>
      </w:tr>
      <w:tr>
        <w:tc>
          <w:tcPr>
            <w:tcW w:type="dxa" w:w="360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b/>
                <w:bCs/>
                <w:sz w:val="20"/>
                <w:szCs w:val="20"/>
              </w:rPr>
              <w:t xml:space="preserve">Meditations  ·  Marcus Aurelius</w:t>
            </w:r>
          </w:p>
        </w:tc>
        <w:tc>
          <w:tcPr>
            <w:tcW w:type="dxa" w:w="576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sz w:val="20"/>
                <w:szCs w:val="20"/>
              </w:rPr>
              <w:t xml:space="preserve">The philosophical source Holiday draws from directly — reading Aurelius after Holiday reveals both the depth of the Stoic tradition behind the diagnosis and the daily practice that the philosophy requires.</w:t>
            </w:r>
          </w:p>
        </w:tc>
      </w:tr>
      <w:tr>
        <w:tc>
          <w:tcPr>
            <w:tcW w:type="dxa" w:w="360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b/>
                <w:bCs/>
                <w:sz w:val="20"/>
                <w:szCs w:val="20"/>
              </w:rPr>
              <w:t xml:space="preserve">The Obstacle Is the Way  ·  Ryan Holiday</w:t>
            </w:r>
          </w:p>
        </w:tc>
        <w:tc>
          <w:tcPr>
            <w:tcW w:type="dxa" w:w="576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sz w:val="20"/>
                <w:szCs w:val="20"/>
              </w:rPr>
              <w:t xml:space="preserve">The companion volume — where Ego Is the Enemy diagnoses the internal obstacle, The Obstacle Is the Way addresses what to do when the external ones arrive; together they form Holiday’s complete Stoic framework.</w:t>
            </w:r>
          </w:p>
        </w:tc>
      </w:tr>
      <w:tr>
        <w:tc>
          <w:tcPr>
            <w:tcW w:type="dxa" w:w="360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b/>
                <w:bCs/>
                <w:sz w:val="20"/>
                <w:szCs w:val="20"/>
              </w:rPr>
              <w:t xml:space="preserve">Man’s Search for Meaning  ·  Viktor Frankl</w:t>
            </w:r>
          </w:p>
        </w:tc>
        <w:tc>
          <w:tcPr>
            <w:tcW w:type="dxa" w:w="576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sz w:val="20"/>
                <w:szCs w:val="20"/>
              </w:rPr>
              <w:t xml:space="preserve">The essential existential companion — Frankl provides the framework for what to build in the place the ego leaves when it is dismantled, the antidote to the diagnosis Holiday provides.</w:t>
            </w:r>
          </w:p>
        </w:tc>
      </w:tr>
      <w:tr>
        <w:tc>
          <w:tcPr>
            <w:tcW w:type="dxa" w:w="360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b/>
                <w:bCs/>
                <w:sz w:val="20"/>
                <w:szCs w:val="20"/>
              </w:rPr>
              <w:t xml:space="preserve">Leadership and Self-Deception  ·  The Arbinger Institute</w:t>
            </w:r>
          </w:p>
        </w:tc>
        <w:tc>
          <w:tcPr>
            <w:tcW w:type="dxa" w:w="5760"/>
            <w:tcBorders>
              <w:top w:val="single" w:color="8EAADB" w:sz="1"/>
              <w:left w:val="single" w:color="8EAADB" w:sz="1"/>
              <w:bottom w:val="single" w:color="8EAADB" w:sz="1"/>
              <w:right w:val="single" w:color="8EAADB" w:sz="1"/>
            </w:tcBorders>
            <w:shd w:fill="F2F5FB" w:val="clear"/>
            <w:tcMar>
              <w:top w:type="dxa" w:w="80"/>
              <w:left w:type="dxa" w:w="120"/>
              <w:bottom w:type="dxa" w:w="80"/>
              <w:right w:type="dxa" w:w="120"/>
            </w:tcMar>
          </w:tcPr>
          <w:p>
            <w:r>
              <w:rPr>
                <w:rFonts w:ascii="Arial" w:cs="Arial" w:eastAsia="Arial" w:hAnsi="Arial"/>
                <w:sz w:val="20"/>
                <w:szCs w:val="20"/>
              </w:rPr>
              <w:t xml:space="preserve">The closest organizational parallel — Arbinger’s “box” and Holiday’s ego are different vocabularies for the same failure mode; reading both produces the most complete map of self-justifying identity available in the library.</w:t>
            </w:r>
          </w:p>
        </w:tc>
      </w:tr>
      <w:tr>
        <w:tc>
          <w:tcPr>
            <w:tcW w:type="dxa" w:w="360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b/>
                <w:bCs/>
                <w:sz w:val="20"/>
                <w:szCs w:val="20"/>
              </w:rPr>
              <w:t xml:space="preserve">Leaders Eat Last  ·  Simon Sinek</w:t>
            </w:r>
          </w:p>
        </w:tc>
        <w:tc>
          <w:tcPr>
            <w:tcW w:type="dxa" w:w="5760"/>
            <w:tcBorders>
              <w:top w:val="single" w:color="8EAADB" w:sz="1"/>
              <w:left w:val="single" w:color="8EAADB" w:sz="1"/>
              <w:bottom w:val="single" w:color="8EAADB" w:sz="1"/>
              <w:right w:val="single" w:color="8EAADB" w:sz="1"/>
            </w:tcBorders>
            <w:shd w:fill="FFFFFF" w:val="clear"/>
            <w:tcMar>
              <w:top w:type="dxa" w:w="80"/>
              <w:left w:type="dxa" w:w="120"/>
              <w:bottom w:type="dxa" w:w="80"/>
              <w:right w:type="dxa" w:w="120"/>
            </w:tcMar>
          </w:tcPr>
          <w:p>
            <w:r>
              <w:rPr>
                <w:rFonts w:ascii="Arial" w:cs="Arial" w:eastAsia="Arial" w:hAnsi="Arial"/>
                <w:sz w:val="20"/>
                <w:szCs w:val="20"/>
              </w:rPr>
              <w:t xml:space="preserve">Addresses the communal dimension of what transition removes: the belonging, trust, and shared purpose that made the institutional identity feel so complete — and what building it outside the institution actually requires.</w:t>
            </w:r>
          </w:p>
        </w:tc>
      </w:tr>
    </w:tbl>
    <w:p>
      <w:pPr>
        <w:spacing w:after="80" w:before="80"/>
      </w:pPr>
    </w:p>
    <w:p>
      <w:pPr>
        <w:pBdr>
          <w:bottom w:val="single" w:color="2E4A8E" w:sz="4" w:space="1"/>
        </w:pBdr>
        <w:spacing w:after="120" w:before="120"/>
      </w:pPr>
    </w:p>
    <w:p>
      <w:pPr>
        <w:spacing w:after="0" w:before="120"/>
        <w:jc w:val="center"/>
      </w:pPr>
      <w:r>
        <w:rPr>
          <w:rFonts w:ascii="Arial" w:cs="Arial" w:eastAsia="Arial" w:hAnsi="Arial"/>
          <w:i/>
          <w:iCs/>
          <w:color w:val="666666"/>
          <w:sz w:val="18"/>
          <w:szCs w:val="18"/>
        </w:rPr>
        <w:t xml:space="preserve">Search Keywords:  ego  ·  humility  ·  identity  ·  stoicism  ·  ambition  ·  pride  ·  failure  ·  self-awareness  ·  character  ·  transition</w:t>
      </w:r>
    </w:p>
    <w:p>
      <w:pPr>
        <w:spacing w:after="80" w:before="80"/>
      </w:pPr>
    </w:p>
    <w:p>
      <w:pPr>
        <w:spacing w:after="0" w:before="60"/>
        <w:jc w:val="center"/>
      </w:pPr>
      <w:r>
        <w:rPr>
          <w:rFonts w:ascii="Arial" w:cs="Arial" w:eastAsia="Arial" w:hAnsi="Arial"/>
          <w:color w:val="2E4A8E"/>
          <w:sz w:val="18"/>
          <w:szCs w:val="18"/>
        </w:rPr>
        <w:t xml:space="preserve">Leadership Through Transition  ·  Book Entry  ·  Version 2.0  ·  June 2025  ·  Gold Standard Edition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2026-06-12T05:32:48.635Z</dcterms:created>
  <dcterms:modified xsi:type="dcterms:W3CDTF">2026-06-12T05:32:48.635Z</dcterms:modified>
</cp:coreProperties>
</file>

<file path=docProps/custom.xml><?xml version="1.0" encoding="utf-8"?>
<Properties xmlns="http://schemas.openxmlformats.org/officeDocument/2006/custom-properties" xmlns:vt="http://schemas.openxmlformats.org/officeDocument/2006/docPropsVTypes"/>
</file>