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777777"/>
          <w:sz w:val="18"/>
          <w:szCs w:val="18"/>
        </w:rPr>
        <w:t xml:space="preserve">LEADERSHIP THROUGH TRANSITION  ·  BOOK ENTRY</w:t>
      </w:r>
    </w:p>
    <w:p>
      <w:pPr>
        <w:spacing w:after="60" w:before="120"/>
      </w:pPr>
      <w:r>
        <w:rPr>
          <w:rFonts w:ascii="Arial" w:cs="Arial" w:eastAsia="Arial" w:hAnsi="Arial"/>
          <w:b/>
          <w:bCs/>
          <w:color w:val="1F3864"/>
          <w:sz w:val="40"/>
          <w:szCs w:val="40"/>
        </w:rPr>
        <w:t xml:space="preserve">Essentialism</w:t>
      </w:r>
    </w:p>
    <w:p>
      <w:pPr>
        <w:spacing w:after="100" w:before="0"/>
      </w:pPr>
      <w:r>
        <w:rPr>
          <w:rFonts w:ascii="Arial" w:cs="Arial" w:eastAsia="Arial" w:hAnsi="Arial"/>
          <w:color w:val="555555"/>
          <w:sz w:val="22"/>
          <w:szCs w:val="22"/>
        </w:rPr>
        <w:t xml:space="preserve">Greg McKeown  ·  2014</w:t>
      </w:r>
    </w:p>
    <w:p>
      <w:pPr>
        <w:pBdr>
          <w:left w:val="single" w:color="1F3864" w:sz="12" w:space="8"/>
        </w:pBdr>
        <w:spacing w:after="240" w:before="0"/>
        <w:ind w:left="240"/>
      </w:pPr>
      <w:r>
        <w:rPr>
          <w:rFonts w:ascii="Arial" w:cs="Arial" w:eastAsia="Arial" w:hAnsi="Arial"/>
          <w:i/>
          <w:iCs/>
          <w:color w:val="333333"/>
          <w:sz w:val="20"/>
          <w:szCs w:val="20"/>
        </w:rPr>
        <w:t xml:space="preserve">McKeown argues that the disciplined pursuit of less — the deliberate elimination of everything that is not essential — is not a sacrifice of ambition but its highest expression: the only path to contribution that is genuinely significant rather than merely busy.</w:t>
      </w:r>
    </w:p>
    <w:p>
      <w:pPr>
        <w:pStyle w:val="Heading1"/>
        <w:spacing w:after="120" w:before="360"/>
      </w:pPr>
      <w:r>
        <w:rPr>
          <w:rFonts w:ascii="Arial" w:cs="Arial" w:eastAsia="Arial" w:hAnsi="Arial"/>
          <w:b/>
          <w:bCs/>
          <w:color w:val="1F3864"/>
          <w:sz w:val="28"/>
          <w:szCs w:val="28"/>
        </w:rPr>
        <w:t xml:space="preserve">Entry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Library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Supporting</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Canon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 Transition Canon</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Node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 Node — 4 Wisdom Themes</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Categories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Personal Development  ·  Business</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Taxonomy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Leadership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Discipline  ·  Strategic Thinking  ·  Decision Making  ·  Self-Awareness</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Transition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  ·  Fulfillment  ·  Reinvention  ·  Uncertainty  ·  Identity</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Reading Pathways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Preparing for Retirement  ·  Finding Purpose After Service  ·  Building a Second Career  ·  Personal Growth &amp; Reflection</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Cross-Book Wisdom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  ·  Adaptability  ·  Identity  ·  Meaning</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disciplined pursuit of less is not retreat from ambition — it is the recognition that doing a few things with excellence produces more meaningful contribution than doing many things adequately.</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you don’t choose your priorities, someone else will — and they will choose based on their needs, not yours; the transition period is the first sustained opportunity many leaders have to make that choice deliberately.</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highest-performing leaders protect their time and attention for what only they can do and what matters most — not by doing less work but by directing the same energy toward a smaller number of genuinely essential things.</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military institution was, among other things, a priority-setting machine; transition removes it and leaves the leader responsible for a task that was never fully theirs to practice while in service.</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Saying yes to everything in the early post-transition period — consulting, boards, community roles, second career options, family commitments — is the non-essentialist default, and it almost always produces a life that is busy rather than purposeful.</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Opening Hook</w:t>
      </w:r>
    </w:p>
    <w:p>
      <w:pPr>
        <w:spacing w:after="120" w:before="80"/>
      </w:pPr>
      <w:r>
        <w:rPr>
          <w:rFonts w:ascii="Arial" w:cs="Arial" w:eastAsia="Arial" w:hAnsi="Arial"/>
          <w:sz w:val="20"/>
          <w:szCs w:val="20"/>
        </w:rPr>
        <w:t xml:space="preserve">The first year after military retirement tends to look, from the outside, like a person who has been handed a gift: time, options, and the freedom to choose what comes next. From the inside, it often feels like something closer to the opposite. Not because the options are bad — they are usually genuinely good — but because there are too many of them, and they arrive with an urgency that the institution used to organize but that has no organizer now.</w:t>
      </w:r>
    </w:p>
    <w:p>
      <w:pPr>
        <w:spacing w:after="120" w:before="80"/>
      </w:pPr>
      <w:r>
        <w:rPr>
          <w:rFonts w:ascii="Arial" w:cs="Arial" w:eastAsia="Arial" w:hAnsi="Arial"/>
          <w:sz w:val="20"/>
          <w:szCs w:val="20"/>
        </w:rPr>
        <w:t xml:space="preserve">The consulting offer. The board invitation. The nonprofit that needs leadership. The job that pays well. The job that feels meaningful. The graduate program. The community role. The family that has waited twenty years for more presence. Every one of them is real, every one of them is a claim on the same finite resource: the leader’s time and attention. Greg McKeown did not write this book for transitioning military leaders, but he wrote it for exactly this condition. His argument is not that the leader should want less. It is that the discipline of choosing what matters most — and declining everything else with the same professionalism they once brought to mission planning — is the only path to a next chapter that is genuinely significant rather than merely full.</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Book Analysis</w:t>
      </w:r>
    </w:p>
    <w:p>
      <w:pPr>
        <w:spacing w:after="160" w:before="80"/>
      </w:pPr>
      <w:r>
        <w:rPr>
          <w:rFonts w:ascii="Arial" w:cs="Arial" w:eastAsia="Arial" w:hAnsi="Arial"/>
          <w:i/>
          <w:iCs/>
          <w:color w:val="555555"/>
          <w:sz w:val="20"/>
          <w:szCs w:val="20"/>
        </w:rPr>
        <w:t xml:space="preserve">What McKeown argues — and why the disciplined pursuit of less is a more demanding practice than the undisciplined accumulation of more.</w:t>
      </w:r>
    </w:p>
    <w:p>
      <w:pPr>
        <w:pStyle w:val="Heading2"/>
        <w:spacing w:after="80" w:before="240"/>
      </w:pPr>
      <w:r>
        <w:rPr>
          <w:rFonts w:ascii="Arial" w:cs="Arial" w:eastAsia="Arial" w:hAnsi="Arial"/>
          <w:b/>
          <w:bCs/>
          <w:color w:val="2E5090"/>
          <w:sz w:val="22"/>
          <w:szCs w:val="22"/>
        </w:rPr>
        <w:t xml:space="preserve">The Central Argument</w:t>
      </w:r>
    </w:p>
    <w:p>
      <w:pPr>
        <w:spacing w:after="120" w:before="80"/>
      </w:pPr>
      <w:r>
        <w:rPr>
          <w:rFonts w:ascii="Arial" w:cs="Arial" w:eastAsia="Arial" w:hAnsi="Arial"/>
          <w:sz w:val="20"/>
          <w:szCs w:val="20"/>
        </w:rPr>
        <w:t xml:space="preserve">McKeown’s argument begins with a diagnosis: most high-performing people are living a non-essentialist life not because they have failed to think clearly about priorities but because the social and professional pressures that push toward over-commitment are genuinely powerful and relentless. The request from a respected colleague, the opportunity that feels too good to decline, the commitment that seemed small when made and has since expanded — these are not failures of character. They are the predictable outcome of an environment that consistently rewards the appearance of busyness and penalizes the disciplined refusal that essentialism requires.</w:t>
      </w:r>
    </w:p>
    <w:p>
      <w:pPr>
        <w:spacing w:after="120" w:before="80"/>
      </w:pPr>
      <w:r>
        <w:rPr>
          <w:rFonts w:ascii="Arial" w:cs="Arial" w:eastAsia="Arial" w:hAnsi="Arial"/>
          <w:sz w:val="20"/>
          <w:szCs w:val="20"/>
        </w:rPr>
        <w:t xml:space="preserve">The essentialist discipline, in McKeown’s framing, operates across three domains. Explore: the systematic examination of options to identify the few that are genuinely essential rather than merely good. Eliminate: the deliberate removal of everything that is not essential, including commitments already made, through graceful but firm declination. Execute: the removal of obstacles that prevent the essentials from being done with excellence, rather than the addition of more effort to accomplish more things. The sequence is important. Most high-performers are skilled at execution but never reach it because they have not done the work of exploration and elimination first.</w:t>
      </w:r>
    </w:p>
    <w:p>
      <w:pPr>
        <w:pStyle w:val="Heading2"/>
        <w:spacing w:after="80" w:before="240"/>
      </w:pPr>
      <w:r>
        <w:rPr>
          <w:rFonts w:ascii="Arial" w:cs="Arial" w:eastAsia="Arial" w:hAnsi="Arial"/>
          <w:b/>
          <w:bCs/>
          <w:color w:val="2E5090"/>
          <w:sz w:val="22"/>
          <w:szCs w:val="22"/>
        </w:rPr>
        <w:t xml:space="preserve">Key Frameworks and Ideas</w:t>
      </w:r>
    </w:p>
    <w:p>
      <w:pPr>
        <w:spacing w:after="120" w:before="80"/>
      </w:pPr>
      <w:r>
        <w:rPr>
          <w:rFonts w:ascii="Arial" w:cs="Arial" w:eastAsia="Arial" w:hAnsi="Arial"/>
          <w:sz w:val="20"/>
          <w:szCs w:val="20"/>
        </w:rPr>
        <w:t xml:space="preserve">The book’s most practically useful framework for the transition reader is what McKeown calls the 90 percent rule: when evaluating an opportunity, ask whether it scores above 90 on the criteria that matter most to you. If it does not, the answer is no. The logic is counterintuitive but sound: the cost of non-essential commitments is not just the time they consume. It is the opportunity cost of the essential things that cannot be done because the non-essential ones are occupying the space. A commitment that scores 70 — genuinely good but not essential — is displacing a commitment that might score 95, and the aggregate cost of that displacement over years is a life that was busy and not without value but never fully pointed at what mattered most.</w:t>
      </w:r>
    </w:p>
    <w:p>
      <w:pPr>
        <w:spacing w:after="120" w:before="80"/>
      </w:pPr>
      <w:r>
        <w:rPr>
          <w:rFonts w:ascii="Arial" w:cs="Arial" w:eastAsia="Arial" w:hAnsi="Arial"/>
          <w:sz w:val="20"/>
          <w:szCs w:val="20"/>
        </w:rPr>
        <w:t xml:space="preserve">The concept of a graceful no deserves particular attention for the military reader. The culture of service rewards saying yes — to additional duty, to the needs of the mission, to the unit’s requirements above personal preferences. That orientation is genuinely valuable and genuinely part of the service identity. It is also, in the post-transition context, the specific reflex that makes non-essentialism the default. The leader who spent twenty years subordinating personal priorities to institutional ones has not developed, in most cases, a fluent practice of deliberate, confident declination. McKeown’s contribution here is both the permission and the framework for that practice.</w:t>
      </w:r>
    </w:p>
    <w:p>
      <w:pPr>
        <w:spacing w:after="120" w:before="80"/>
      </w:pPr>
      <w:r>
        <w:rPr>
          <w:rFonts w:ascii="Arial" w:cs="Arial" w:eastAsia="Arial" w:hAnsi="Arial"/>
          <w:sz w:val="20"/>
          <w:szCs w:val="20"/>
        </w:rPr>
        <w:t xml:space="preserve">The book’s primary limitation is one of depth rather than accuracy. McKeown’s argument is correct and useful, but it operates at the level of decision-making frameworks and time management rather than at the deeper level of why the non-essentialist defaults are so powerful. The reader who finds that knowing essentialism is easier than practicing it — who can articulate the framework clearly and still finds themselves saying yes to commitments they should decline — will find the deeper explanation in Frankl’s meaning framework and Covey’s private victory architecture. Essentialism describes what the essentialist life requires. The other books in the library explain what makes it so hard to build.</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Leadership Transition Commentary</w:t>
      </w:r>
    </w:p>
    <w:p>
      <w:pPr>
        <w:spacing w:after="120" w:before="80"/>
      </w:pPr>
      <w:r>
        <w:rPr>
          <w:rFonts w:ascii="Arial" w:cs="Arial" w:eastAsia="Arial" w:hAnsi="Arial"/>
          <w:sz w:val="20"/>
          <w:szCs w:val="20"/>
        </w:rPr>
        <w:t xml:space="preserve">For most of a military career, the institution managed the priority problem. Not perfectly, and not without cost to personal and family life — but managed it. The operational tempo, the command priorities, the fitness report requirements, the professional military education calendar: collectively, these structures told the leader what mattered most at any given moment and organized their time accordingly. The leader’s job was to execute within those priorities, to push back when they were wrong, and to find space for personal life in whatever margin remained. That required real judgment and discipline. It did not require building a priority architecture from scratch.</w:t>
      </w:r>
    </w:p>
    <w:p>
      <w:pPr>
        <w:spacing w:after="120" w:before="80"/>
      </w:pPr>
      <w:r>
        <w:rPr>
          <w:rFonts w:ascii="Arial" w:cs="Arial" w:eastAsia="Arial" w:hAnsi="Arial"/>
          <w:sz w:val="20"/>
          <w:szCs w:val="20"/>
        </w:rPr>
        <w:t xml:space="preserve">Transition removes the institutional architecture and leaves the space it occupied empty. What fills that space in the first post-transition year is almost always determined by whoever asks first, most persistently, or most compellingly — not by the leader’s deliberate assessment of what deserves the next chapter of their life. This is not a failure of character or discipline. It is the predictable outcome of removing a structure that was doing organizational work the leader never fully had to do personally. The result, for many transitioning leaders, is a first year that is genuinely busy, modestly productive, and not quite pointed at anything that feels deeply right.</w:t>
      </w:r>
    </w:p>
    <w:p>
      <w:pPr>
        <w:spacing w:after="120" w:before="80"/>
      </w:pPr>
      <w:r>
        <w:rPr>
          <w:rFonts w:ascii="Arial" w:cs="Arial" w:eastAsia="Arial" w:hAnsi="Arial"/>
          <w:sz w:val="20"/>
          <w:szCs w:val="20"/>
        </w:rPr>
        <w:t xml:space="preserve">McKeown’s framework is most useful precisely at this juncture, and at a specific decision point that recurs throughout the first eighteen months: the moment when a new commitment is offered and the default answer is yes. The consulting engagement that will ‘only take a few hours a week.’ The board seat that comes with real prestige and modest demands. The speaking invitation that feels like it might lead somewhere. The community role that needs exactly the leader’s skill set. Each one of these is a genuine good. None of them may be essential. And the leader who has not built a framework for making that distinction before the offer arrives will almost certainly accept each one as it comes, because the pressure to say yes is always present and the cost of the acceptance is always deferred.</w:t>
      </w:r>
    </w:p>
    <w:p>
      <w:pPr>
        <w:spacing w:after="120" w:before="80"/>
      </w:pPr>
      <w:r>
        <w:rPr>
          <w:rFonts w:ascii="Arial" w:cs="Arial" w:eastAsia="Arial" w:hAnsi="Arial"/>
          <w:sz w:val="20"/>
          <w:szCs w:val="20"/>
        </w:rPr>
        <w:t xml:space="preserve">The specific transition application of the 90 percent rule is worth making concrete: before accepting any significant post-transition commitment — a role, an engagement, a board, a volunteer leadership position — ask whether it scores above 90 on three criteria simultaneously: alignment with the WHY established in the Start With Why exercise, contribution to the specific people and purposes named in the Greenleaf and Frankl work, and genuine use of the leader’s highest capabilities rather than merely their available time. A commitment that scores well on one or two of those criteria is good. A commitment that scores well on all three is essential. The ones that score well on only one or two are the commitments that will make the first year busy without making it meaningful.</w:t>
      </w:r>
    </w:p>
    <w:p>
      <w:pPr>
        <w:spacing w:after="120" w:before="80"/>
      </w:pPr>
      <w:r>
        <w:rPr>
          <w:rFonts w:ascii="Arial" w:cs="Arial" w:eastAsia="Arial" w:hAnsi="Arial"/>
          <w:sz w:val="20"/>
          <w:szCs w:val="20"/>
        </w:rPr>
        <w:t xml:space="preserve">The limitation McKeown’s framework does not address is the economic one. Some post-transition leaders have the financial security to practice essentialism immediately — to decline non-essential commitments confidently because the essential ones, even if they generate less income, are sufficient. Others do not, and the first post-transition years may require accepting commitments that are genuinely good but not essential because the essential ones are not yet financially viable. McKeown does not fully address this reality. The framework is not wrong for readers in that position, but its application is more constrained than the book implies, and pretending otherwise would be a disservice.</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Practical Applications</w:t>
      </w:r>
    </w:p>
    <w:p>
      <w:pPr>
        <w:pStyle w:val="ListParagraph"/>
        <w:numPr>
          <w:ilvl w:val="0"/>
          <w:numId w:val="2"/>
        </w:numPr>
        <w:spacing w:after="100" w:before="80"/>
      </w:pPr>
      <w:r>
        <w:rPr>
          <w:rFonts w:ascii="Arial" w:cs="Arial" w:eastAsia="Arial" w:hAnsi="Arial"/>
          <w:sz w:val="20"/>
          <w:szCs w:val="20"/>
        </w:rPr>
        <w:t xml:space="preserve">Before accepting any significant commitment in your first eighteen post-transition months, apply the 90 percent rule explicitly. List the three criteria that matter most to the next chapter you are building. Score the commitment against each. If it does not score above 90 on all three simultaneously, the default answer is no — or at minimum, not yet. The best time to build this practice is before the first offer arrives, not after several have already been accepted.</w:t>
      </w:r>
    </w:p>
    <w:p>
      <w:pPr>
        <w:pStyle w:val="ListParagraph"/>
        <w:numPr>
          <w:ilvl w:val="0"/>
          <w:numId w:val="2"/>
        </w:numPr>
        <w:spacing w:after="100" w:before="80"/>
      </w:pPr>
      <w:r>
        <w:rPr>
          <w:rFonts w:ascii="Arial" w:cs="Arial" w:eastAsia="Arial" w:hAnsi="Arial"/>
          <w:sz w:val="20"/>
          <w:szCs w:val="20"/>
        </w:rPr>
        <w:t xml:space="preserve">Audit the commitments you have already made. For leaders who are six to eighteen months into transition and find themselves busy but not purposeful, the essentialist discipline begins with inventory. List every significant commitment of time and attention. Against each one, ask: is this essential to what I am actually building, or is it a genuinely good thing that is displacing something better? The audit itself does not produce the action — but it surfaces the choices that need to be made.</w:t>
      </w:r>
    </w:p>
    <w:p>
      <w:pPr>
        <w:pStyle w:val="ListParagraph"/>
        <w:numPr>
          <w:ilvl w:val="0"/>
          <w:numId w:val="2"/>
        </w:numPr>
        <w:spacing w:after="100" w:before="80"/>
      </w:pPr>
      <w:r>
        <w:rPr>
          <w:rFonts w:ascii="Arial" w:cs="Arial" w:eastAsia="Arial" w:hAnsi="Arial"/>
          <w:sz w:val="20"/>
          <w:szCs w:val="20"/>
        </w:rPr>
        <w:t xml:space="preserve">Develop a graceful no that fits your voice. The military culture of saying yes is real and not without value. McKeown’s framework requires overriding it in specific, defined circumstances, and doing so in a way that preserves the relationship while declining the commitment. Write three versions of a graceful no for three categories of likely post-transition requests: professional engagements, volunteer and community roles, and social obligations. Having the language ready before the request arrives reduces the friction of using it.</w:t>
      </w:r>
    </w:p>
    <w:p>
      <w:pPr>
        <w:pStyle w:val="ListParagraph"/>
        <w:numPr>
          <w:ilvl w:val="0"/>
          <w:numId w:val="2"/>
        </w:numPr>
        <w:spacing w:after="100" w:before="80"/>
      </w:pPr>
      <w:r>
        <w:rPr>
          <w:rFonts w:ascii="Arial" w:cs="Arial" w:eastAsia="Arial" w:hAnsi="Arial"/>
          <w:sz w:val="20"/>
          <w:szCs w:val="20"/>
        </w:rPr>
        <w:t xml:space="preserve">Schedule protected time for the essential work before scheduling anything else. McKeown’s execution framework is straightforward: the essential things do not get done by finding time for them after everything else is scheduled. They get done by scheduling them first and protecting those blocks from the competing claims that will otherwise occupy them. In a post-transition life without institutional structure, this requires a deliberate architecture — a weekly rhythm that places the most important work at the most productive hours before the day’s reactive demands begin.</w:t>
      </w:r>
    </w:p>
    <w:p>
      <w:pPr>
        <w:pStyle w:val="ListParagraph"/>
        <w:numPr>
          <w:ilvl w:val="0"/>
          <w:numId w:val="2"/>
        </w:numPr>
        <w:spacing w:after="100" w:before="80"/>
      </w:pPr>
      <w:r>
        <w:rPr>
          <w:rFonts w:ascii="Arial" w:cs="Arial" w:eastAsia="Arial" w:hAnsi="Arial"/>
          <w:sz w:val="20"/>
          <w:szCs w:val="20"/>
        </w:rPr>
        <w:t xml:space="preserve">Read this book alongside the 7 Habits of Highly Effective People, specifically Covey’s Quadrant 2 framework. McKeown’s essentialism and Covey’s important-but-not-urgent quadrant are the same territory approached from different angles. Covey diagnoses why the essential work gets displaced (urgency always crowds out importance if the leader does not protect against it). McKeown provides the decision architecture for protecting against it. Together, they form the most complete framework in the library for building a life organized around what matters rather than what demands attention.</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Reflection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Identity &amp; Self-Awareness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McKeown argues that the non-essentialist default — saying yes to too many genuinely good things — is driven by social and professional pressure rather than by a failure of values. Looking honestly at the commitments you have made or are considering in your transition, which of them reflect a genuine assessment of what matters most, and which reflect the path of least resistance when someone asked? What does the ratio tell you about how deliberately you are building the next chapter?</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Transition Experience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institution managed your priorities for most of your career. Now it does not. In the absence of that structure, what is currently organizing your time and attention? Is it a deliberate framework you have built, or is it the accumulated weight of requests, obligations, and opportunities that arrived before you had the framework in place? What would it require to shift from the second to the first?</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Purpose &amp; Legacy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Essentialism is ultimately a framework for legacy: the things done with full attention and genuine commitment produce more lasting contribution than the many things done adequately under divided attention. Looking forward at the next ten years — not the next role, but the decade — what are the two or three contributions you want to have made? Do your current commitments, taken as a portfolio, point toward those contributions? Where is the misalignment?</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Book-Specific Application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McKeown’s framework is easier to accept in principle than to apply in practice, particularly for leaders whose identity includes being maximally useful and available. Where specifically do you anticipate the greatest resistance to practicing essentialism — which category of request (professional, volunteer, social, family) will be hardest to decline, and what does that difficulty reveal about the identity narrative that makes saying yes feel necessary?</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Cross-Book Wisdom Connections</w:t>
      </w:r>
    </w:p>
    <w:p>
      <w:pPr>
        <w:spacing w:after="160" w:before="80"/>
      </w:pPr>
      <w:r>
        <w:rPr>
          <w:rFonts w:ascii="Arial" w:cs="Arial" w:eastAsia="Arial" w:hAnsi="Arial"/>
          <w:i/>
          <w:iCs/>
          <w:color w:val="555555"/>
          <w:sz w:val="20"/>
          <w:szCs w:val="20"/>
        </w:rPr>
        <w:t xml:space="preserve">Essentialism is the library’s decision architecture for the purpose questions that the foundational canon establishes. Once the WHY is found, the personal mission is authored, and the servant-leader orientation is understood, essentialism is what makes those things operational in daily life. Its connections run to the frameworks that identify what the essential work is, and to the philosophical traditions that explain why protecting it requires active discipline rather than good intentions.</w:t>
      </w:r>
    </w:p>
    <w:p>
      <w:pPr>
        <w:spacing w:after="60" w:before="200"/>
      </w:pPr>
      <w:r>
        <w:rPr>
          <w:rFonts w:ascii="Arial" w:cs="Arial" w:eastAsia="Arial" w:hAnsi="Arial"/>
          <w:b/>
          <w:bCs/>
          <w:color w:val="1F3864"/>
          <w:sz w:val="20"/>
          <w:szCs w:val="20"/>
        </w:rPr>
        <w:t xml:space="preserve">Connection 1 — </w:t>
      </w:r>
      <w:r>
        <w:rPr>
          <w:rFonts w:ascii="Arial" w:cs="Arial" w:eastAsia="Arial" w:hAnsi="Arial"/>
          <w:b/>
          <w:bCs/>
          <w:sz w:val="20"/>
          <w:szCs w:val="20"/>
        </w:rPr>
        <w:t xml:space="preserve">The 7 Habits of Highly Effective People by Stephen Covey  </w:t>
      </w:r>
      <w:r>
        <w:rPr>
          <w:rFonts w:ascii="Arial" w:cs="Arial" w:eastAsia="Arial" w:hAnsi="Arial"/>
          <w:i/>
          <w:iCs/>
          <w:color w:val="555555"/>
          <w:sz w:val="18"/>
          <w:szCs w:val="18"/>
        </w:rPr>
        <w:t xml:space="preserve">[Extension · Purpose + Adaptability]</w:t>
      </w:r>
    </w:p>
    <w:p>
      <w:pPr>
        <w:spacing w:after="120" w:before="80"/>
      </w:pPr>
      <w:r>
        <w:rPr>
          <w:rFonts w:ascii="Arial" w:cs="Arial" w:eastAsia="Arial" w:hAnsi="Arial"/>
          <w:sz w:val="20"/>
          <w:szCs w:val="20"/>
        </w:rPr>
        <w:t xml:space="preserve">Covey’s Quadrant 2 framework — the domain of important but not urgent work — is the diagnostic that explains why essentialism is necessary. Urgent matters always have an advocate: the deadline, the person waiting, the consequence of delay. Important matters that are not yet urgent have no advocate except the leader’s own discipline. Without that discipline, Quadrant 1 (urgent and important) crowds out Quadrant 2 indefinitely, and the work that matters most never gets the sustained attention it requires. McKeown’s essentialism is the decision architecture that makes Covey’s prescription operational: not just the identification of Quadrant 2 as the domain of highest leverage, but the specific tools for protecting it from the urgent claims that will always arrive first. The extension relationship is precise: Covey diagnoses the problem (the tyranny of urgency displaces the essential), McKeown provides the defense (the 90 percent rule, the graceful no, the scheduled protection of essential work). Leaders who read Covey without McKeown know the territory is important but lack the fencing. Leaders who read McKeown without Covey have the fencing but may not have identified what they are protecting.</w:t>
      </w:r>
    </w:p>
    <w:p>
      <w:pPr>
        <w:spacing w:after="60" w:before="200"/>
      </w:pPr>
      <w:r>
        <w:rPr>
          <w:rFonts w:ascii="Arial" w:cs="Arial" w:eastAsia="Arial" w:hAnsi="Arial"/>
          <w:b/>
          <w:bCs/>
          <w:color w:val="1F3864"/>
          <w:sz w:val="20"/>
          <w:szCs w:val="20"/>
        </w:rPr>
        <w:t xml:space="preserve">Connection 2 — </w:t>
      </w:r>
      <w:r>
        <w:rPr>
          <w:rFonts w:ascii="Arial" w:cs="Arial" w:eastAsia="Arial" w:hAnsi="Arial"/>
          <w:b/>
          <w:bCs/>
          <w:sz w:val="20"/>
          <w:szCs w:val="20"/>
        </w:rPr>
        <w:t xml:space="preserve">Start With Why by Simon Sinek  </w:t>
      </w:r>
      <w:r>
        <w:rPr>
          <w:rFonts w:ascii="Arial" w:cs="Arial" w:eastAsia="Arial" w:hAnsi="Arial"/>
          <w:i/>
          <w:iCs/>
          <w:color w:val="555555"/>
          <w:sz w:val="18"/>
          <w:szCs w:val="18"/>
        </w:rPr>
        <w:t xml:space="preserve">[Foundation · Purpose + Identity]</w:t>
      </w:r>
    </w:p>
    <w:p>
      <w:pPr>
        <w:spacing w:after="120" w:before="80"/>
      </w:pPr>
      <w:r>
        <w:rPr>
          <w:rFonts w:ascii="Arial" w:cs="Arial" w:eastAsia="Arial" w:hAnsi="Arial"/>
          <w:sz w:val="20"/>
          <w:szCs w:val="20"/>
        </w:rPr>
        <w:t xml:space="preserve">Sinek’s WHY is the prerequisite for McKeown’s essentialism: you cannot apply the 90 percent rule without a clear criterion, and the criterion that matters most is alignment with the purpose that the WHY framework establishes. The foundation relationship is direct and sequential: Sinek provides the organizing principle that the essentialist framework applies. A leader who has done the WHY work has the criterion they need to evaluate commitments against. A leader who applies McKeown’s framework without having done the WHY work is applying a decision architecture to an empty criterion — they can decline things, but they cannot reliably distinguish essential from merely good because they have not yet identified what essential means for them. In the transition context, the practical sequence is this: the WHY work comes first and answers the question of what the next chapter is for. Essentialism comes second and answers the question of how to protect the space for it.</w:t>
      </w:r>
    </w:p>
    <w:p>
      <w:pPr>
        <w:spacing w:after="60" w:before="200"/>
      </w:pPr>
      <w:r>
        <w:rPr>
          <w:rFonts w:ascii="Arial" w:cs="Arial" w:eastAsia="Arial" w:hAnsi="Arial"/>
          <w:b/>
          <w:bCs/>
          <w:color w:val="1F3864"/>
          <w:sz w:val="20"/>
          <w:szCs w:val="20"/>
        </w:rPr>
        <w:t xml:space="preserve">Connection 3 — </w:t>
      </w:r>
      <w:r>
        <w:rPr>
          <w:rFonts w:ascii="Arial" w:cs="Arial" w:eastAsia="Arial" w:hAnsi="Arial"/>
          <w:b/>
          <w:bCs/>
          <w:sz w:val="20"/>
          <w:szCs w:val="20"/>
        </w:rPr>
        <w:t xml:space="preserve">Man’s Search for Meaning by Viktor Frankl  </w:t>
      </w:r>
      <w:r>
        <w:rPr>
          <w:rFonts w:ascii="Arial" w:cs="Arial" w:eastAsia="Arial" w:hAnsi="Arial"/>
          <w:i/>
          <w:iCs/>
          <w:color w:val="555555"/>
          <w:sz w:val="18"/>
          <w:szCs w:val="18"/>
        </w:rPr>
        <w:t xml:space="preserve">[Convergence · Meaning + Purpose]</w:t>
      </w:r>
    </w:p>
    <w:p>
      <w:pPr>
        <w:spacing w:after="120" w:before="80"/>
      </w:pPr>
      <w:r>
        <w:rPr>
          <w:rFonts w:ascii="Arial" w:cs="Arial" w:eastAsia="Arial" w:hAnsi="Arial"/>
          <w:sz w:val="20"/>
          <w:szCs w:val="20"/>
        </w:rPr>
        <w:t xml:space="preserve">Frankl and McKeown are not in obvious conversation, but their frameworks converge on a claim that is worth naming explicitly: the person who has not identified what their life is for will fill it with what is available, and what is available is almost never what is most meaningful. Frankl’s existential observation — that meaning cannot be pursued directly but is found as a byproduct of full engagement with something genuinely worthy — is the philosophical foundation beneath McKeown’s prescription of less but better. The essentialist who protects time for essential work is not protecting it for comfort or leisure. They are protecting it for the full engagement that Frankl identifies as the condition under which meaning is found. The convergence is specific: essentialism without a meaning framework produces a disciplined life that is not necessarily a fulfilling one. Essentialism applied in service of genuinely meaningful work — work identified through the kind of honest self-examination Frankl requires — is the combination that produces the outcome both authors are describing.</w:t>
      </w:r>
    </w:p>
    <w:p>
      <w:pPr>
        <w:spacing w:after="60" w:before="200"/>
      </w:pPr>
      <w:r>
        <w:rPr>
          <w:rFonts w:ascii="Arial" w:cs="Arial" w:eastAsia="Arial" w:hAnsi="Arial"/>
          <w:b/>
          <w:bCs/>
          <w:color w:val="1F3864"/>
          <w:sz w:val="20"/>
          <w:szCs w:val="20"/>
        </w:rPr>
        <w:t xml:space="preserve">Connection 4 — </w:t>
      </w:r>
      <w:r>
        <w:rPr>
          <w:rFonts w:ascii="Arial" w:cs="Arial" w:eastAsia="Arial" w:hAnsi="Arial"/>
          <w:b/>
          <w:bCs/>
          <w:sz w:val="20"/>
          <w:szCs w:val="20"/>
        </w:rPr>
        <w:t xml:space="preserve">Meditations by Marcus Aurelius  </w:t>
      </w:r>
      <w:r>
        <w:rPr>
          <w:rFonts w:ascii="Arial" w:cs="Arial" w:eastAsia="Arial" w:hAnsi="Arial"/>
          <w:i/>
          <w:iCs/>
          <w:color w:val="555555"/>
          <w:sz w:val="18"/>
          <w:szCs w:val="18"/>
        </w:rPr>
        <w:t xml:space="preserve">[Tradition Bridge · Adaptability + Identity]</w:t>
      </w:r>
    </w:p>
    <w:p>
      <w:pPr>
        <w:spacing w:after="120" w:before="80"/>
      </w:pPr>
      <w:r>
        <w:rPr>
          <w:rFonts w:ascii="Arial" w:cs="Arial" w:eastAsia="Arial" w:hAnsi="Arial"/>
          <w:sz w:val="20"/>
          <w:szCs w:val="20"/>
        </w:rPr>
        <w:t xml:space="preserve">Aurelius practiced a form of essentialism that predates McKeown’s framework by nineteen centuries. His private journals return repeatedly to a single question in different forms: what is actually required of me right now, and what am I adding to that requirement out of ego, anxiety, or the desire to appear useful? The Stoic discipline of distinguishing what is within one’s control from what is not is, among other things, an essentialism practice: it removes from the leader’s attention everything that cannot be affected and focuses it exclusively on what can. Aurelius was operating at the scale of an empire, which made the discipline both more necessary and more difficult than it is for any individual making post-transition decisions. The tradition bridge here reveals something important: the pressure toward non-essentialism — toward taking on more than is essential, toward filling the leadership role with everything the institution requires rather than everything the leader can do with excellence — is not a feature of the modern attention economy. It is a permanent feature of leadership in any complex environment. Aurelius found it in Rome in the second century. McKeown finds it in Silicon Valley in the twenty-first. The prescription across nineteen centuries is the same: choose the essential, protect it deliberately, and release the rest without guilt.</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Closing Reflection</w:t>
      </w:r>
    </w:p>
    <w:p>
      <w:pPr>
        <w:spacing w:after="120" w:before="80"/>
      </w:pPr>
      <w:r>
        <w:rPr>
          <w:rFonts w:ascii="Arial" w:cs="Arial" w:eastAsia="Arial" w:hAnsi="Arial"/>
          <w:sz w:val="20"/>
          <w:szCs w:val="20"/>
        </w:rPr>
        <w:t xml:space="preserve">The discipline McKeown is describing is not natural for the kind of leader who succeeds in military service. The culture that shaped this reader rewarded availability, responsiveness, and the willingness to take on more than was asked. Those qualities produced genuine excellence in a context where the institution managed the priority architecture. They produce a different kind of life when the institution is gone and the leader is managing priorities personally for the first time.</w:t>
      </w:r>
    </w:p>
    <w:p>
      <w:pPr>
        <w:spacing w:after="120" w:before="80"/>
      </w:pPr>
      <w:r>
        <w:rPr>
          <w:rFonts w:ascii="Arial" w:cs="Arial" w:eastAsia="Arial" w:hAnsi="Arial"/>
          <w:sz w:val="20"/>
          <w:szCs w:val="20"/>
        </w:rPr>
        <w:t xml:space="preserve">What essentialism offers is not a license for narrowness or withdrawal. It is a framework for the recognition that the next chapter is finite — that there is a limited amount of time, attention, and energy available, and that the only question is whether it will be distributed across many good things or concentrated on a few essential ones. High-performing people rarely arrive at the end of a career wishing they had done more things. They more often find themselves wondering whether the things they did were the right ones, whether the busyness added up to something genuinely meaningful, whether the contribution was as focused and as deep as it could have been.</w:t>
      </w:r>
    </w:p>
    <w:p>
      <w:pPr>
        <w:spacing w:after="120" w:before="80"/>
      </w:pPr>
      <w:r>
        <w:rPr>
          <w:rFonts w:ascii="Arial" w:cs="Arial" w:eastAsia="Arial" w:hAnsi="Arial"/>
          <w:sz w:val="20"/>
          <w:szCs w:val="20"/>
        </w:rPr>
        <w:t xml:space="preserve">That question does not have to wait until the end. It can be answered now, in the transition period that offers more genuine choice than any previous chapter. The discipline of essentialism is the discipline of answering it deliberately rather than letting the available options answer it by default. That discipline begins with a question the book asks repeatedly in different forms: if this is all I could do, would it be enough? The answer to that question — honest, specific, arrived at through the prior work this library asks for — is the essentialist’s north star.</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Related Books</w:t>
      </w:r>
    </w:p>
    <w:p>
      <w:pPr>
        <w:spacing w:after="160" w:before="80"/>
      </w:pPr>
      <w:r>
        <w:rPr>
          <w:rFonts w:ascii="Arial" w:cs="Arial" w:eastAsia="Arial" w:hAnsi="Arial"/>
          <w:i/>
          <w:iCs/>
          <w:color w:val="555555"/>
          <w:sz w:val="20"/>
          <w:szCs w:val="20"/>
        </w:rPr>
        <w:t xml:space="preserve">These titles extend the essentialist framework across the specific domains where the discipline is most necessary and most difficult for the transition 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Book &amp; Author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the Connection Matters for This Reader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The 7 Habits of Highly Effective People</w:t>
            </w:r>
          </w:p>
          <w:p>
            <w:r>
              <w:rPr>
                <w:rFonts w:ascii="Arial" w:cs="Arial" w:eastAsia="Arial" w:hAnsi="Arial"/>
                <w:i/>
                <w:iCs/>
                <w:color w:val="555555"/>
                <w:sz w:val="16"/>
                <w:szCs w:val="16"/>
              </w:rPr>
              <w:t xml:space="preserve">·  Stephen Covey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diagnostic companion — Covey’s Quadrant 2 framework identifies why the essential work gets displaced; McKeown provides the decision architecture for protecting it.</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Start With Why</w:t>
            </w:r>
          </w:p>
          <w:p>
            <w:r>
              <w:rPr>
                <w:rFonts w:ascii="Arial" w:cs="Arial" w:eastAsia="Arial" w:hAnsi="Arial"/>
                <w:i/>
                <w:iCs/>
                <w:color w:val="555555"/>
                <w:sz w:val="16"/>
                <w:szCs w:val="16"/>
              </w:rPr>
              <w:t xml:space="preserve">·  Simon Sinek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criterion foundation — the WHY framework provides the organizing principle without which the 90 percent rule has no reliable basis for evaluation.</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Man’s Search for Meaning</w:t>
            </w:r>
          </w:p>
          <w:p>
            <w:r>
              <w:rPr>
                <w:rFonts w:ascii="Arial" w:cs="Arial" w:eastAsia="Arial" w:hAnsi="Arial"/>
                <w:i/>
                <w:iCs/>
                <w:color w:val="555555"/>
                <w:sz w:val="16"/>
                <w:szCs w:val="16"/>
              </w:rPr>
              <w:t xml:space="preserve">·  Viktor Frankl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philosophical ground — Frankl’s meaning framework explains why essentialism applied to genuinely meaningful work produces fulfillment that busyness alone cannot.</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Atomic Habits</w:t>
            </w:r>
          </w:p>
          <w:p>
            <w:r>
              <w:rPr>
                <w:rFonts w:ascii="Arial" w:cs="Arial" w:eastAsia="Arial" w:hAnsi="Arial"/>
                <w:i/>
                <w:iCs/>
                <w:color w:val="555555"/>
                <w:sz w:val="16"/>
                <w:szCs w:val="16"/>
              </w:rPr>
              <w:t xml:space="preserve">·  James Clear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behavioral complement — Clear’s framework addresses how to build the daily habits that make essentialist commitments sustainable rather than aspirational.</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The Effective Executive</w:t>
            </w:r>
          </w:p>
          <w:p>
            <w:r>
              <w:rPr>
                <w:rFonts w:ascii="Arial" w:cs="Arial" w:eastAsia="Arial" w:hAnsi="Arial"/>
                <w:i/>
                <w:iCs/>
                <w:color w:val="555555"/>
                <w:sz w:val="16"/>
                <w:szCs w:val="16"/>
              </w:rPr>
              <w:t xml:space="preserve">·  Peter Drucker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organizational extension — Drucker’s framework for executive effectiveness is the professional equivalent of McKeown’s personal essentialism, applied to the civilian organizational context the transition reader is entering.</w:t>
            </w:r>
          </w:p>
        </w:tc>
      </w:tr>
    </w:tbl>
    <w:p>
      <w:pPr>
        <w:spacing w:after="60" w:before="60"/>
      </w:pPr>
      <w:r>
        <w:t xml:space="preserve"/>
      </w:r>
    </w:p>
    <w:p>
      <w:pPr>
        <w:pBdr>
          <w:top w:val="single" w:color="1F3864" w:sz="4" w:space="4"/>
        </w:pBdr>
        <w:spacing w:after="0" w:before="240"/>
      </w:pPr>
      <w:r>
        <w:rPr>
          <w:rFonts w:ascii="Arial" w:cs="Arial" w:eastAsia="Arial" w:hAnsi="Arial"/>
          <w:color w:val="777777"/>
          <w:sz w:val="16"/>
          <w:szCs w:val="16"/>
        </w:rPr>
        <w:t xml:space="preserve">Search Keywords:  essentialism  ·  McKeown  ·  less but better  ·  priorities  ·  elimination  ·  focus  ·  retirement transition  ·  purpose  ·  decision-making  ·  post-military</w:t>
      </w:r>
    </w:p>
    <w:p>
      <w:pPr>
        <w:spacing w:after="0" w:before="60"/>
      </w:pPr>
      <w:r>
        <w:rPr>
          <w:rFonts w:ascii="Arial" w:cs="Arial" w:eastAsia="Arial" w:hAnsi="Arial"/>
          <w:color w:val="777777"/>
          <w:sz w:val="16"/>
          <w:szCs w:val="16"/>
        </w:rPr>
        <w:t xml:space="preserve">Leadership Through Transition  ·  Book Entry  ·  Version 1.0  ·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2026-06-12T14:54:59.638Z</dcterms:created>
  <dcterms:modified xsi:type="dcterms:W3CDTF">2026-06-12T14:54:59.658Z</dcterms:modified>
</cp:coreProperties>
</file>

<file path=docProps/custom.xml><?xml version="1.0" encoding="utf-8"?>
<Properties xmlns="http://schemas.openxmlformats.org/officeDocument/2006/custom-properties" xmlns:vt="http://schemas.openxmlformats.org/officeDocument/2006/docPropsVTypes"/>
</file>