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777777"/>
          <w:sz w:val="18"/>
          <w:szCs w:val="18"/>
        </w:rPr>
        <w:t xml:space="preserve">LEADERSHIP THROUGH TRANSITION  ·  BOOK ENTRY</w:t>
      </w:r>
    </w:p>
    <w:p>
      <w:pPr>
        <w:spacing w:after="60" w:before="120"/>
      </w:pPr>
      <w:r>
        <w:rPr>
          <w:rFonts w:ascii="Arial" w:cs="Arial" w:eastAsia="Arial" w:hAnsi="Arial"/>
          <w:b/>
          <w:bCs/>
          <w:color w:val="1F3864"/>
          <w:sz w:val="40"/>
          <w:szCs w:val="40"/>
        </w:rPr>
        <w:t xml:space="preserve">The First 90 Days</w:t>
      </w:r>
    </w:p>
    <w:p>
      <w:pPr>
        <w:spacing w:after="100" w:before="0"/>
      </w:pPr>
      <w:r>
        <w:rPr>
          <w:rFonts w:ascii="Arial" w:cs="Arial" w:eastAsia="Arial" w:hAnsi="Arial"/>
          <w:color w:val="555555"/>
          <w:sz w:val="22"/>
          <w:szCs w:val="22"/>
        </w:rPr>
        <w:t xml:space="preserve">Michael Watkins  ·  2003</w:t>
      </w:r>
    </w:p>
    <w:p>
      <w:pPr>
        <w:pBdr>
          <w:left w:val="single" w:color="1F3864" w:sz="12" w:space="8"/>
        </w:pBdr>
        <w:spacing w:after="240" w:before="0"/>
        <w:ind w:left="240"/>
      </w:pPr>
      <w:r>
        <w:rPr>
          <w:rFonts w:ascii="Arial" w:cs="Arial" w:eastAsia="Arial" w:hAnsi="Arial"/>
          <w:i/>
          <w:iCs/>
          <w:color w:val="333333"/>
          <w:sz w:val="20"/>
          <w:szCs w:val="20"/>
        </w:rPr>
        <w:t xml:space="preserve">Watkins argues that the first ninety days in a new leadership role are disproportionately consequential — that the momentum, credibility, and relationships established in that window shape everything that follows — and that transitions fail most often not from incompetence but from the application of the right approach to the wrong situation.</w:t>
      </w:r>
    </w:p>
    <w:p>
      <w:pPr>
        <w:pStyle w:val="Heading1"/>
        <w:spacing w:after="120" w:before="360"/>
      </w:pPr>
      <w:r>
        <w:rPr>
          <w:rFonts w:ascii="Arial" w:cs="Arial" w:eastAsia="Arial" w:hAnsi="Arial"/>
          <w:b/>
          <w:bCs/>
          <w:color w:val="1F3864"/>
          <w:sz w:val="28"/>
          <w:szCs w:val="28"/>
        </w:rPr>
        <w:t xml:space="preserve">Entry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Library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Supporting</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Canon 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 Transition Canon</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Node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 Node — 3 Wisdom Themes</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Categories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  Leadership  ·  Transition &amp; Reinvention</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Taxonomy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Leadership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Leadership  ·  Adaptability  ·  Change Management  ·  Strategic Thinking  ·  Communication</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Transition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Career Change  ·  Civilian Integration  ·  Reinvention  ·  Uncertainty</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Reading Pathways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Building a Second Career  ·  Preparing for Retirement  ·  Leading Through Uncertainty</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Cross-Book Wisdom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Adaptability  ·  Leadership  ·  Reinvention</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first ninety days in a new role are disproportionately consequential: the momentum and credibility established in that window are significantly harder to build later, and the patterns set in the early weeks shape how the leader will be perceived for the tenure that follows.</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Transition failures are almost never caused by incompetence — they are caused by applying the right leadership approach to the wrong situation. Diagnosing the situation accurately before choosing the approach is the most important and least performed act of the first 90 days.</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Military leaders arriving in civilian roles carry onboarding assumptions shaped by institutional structures — the change-of-command briefing, the battle rhythm, the command climate assessment — that civilian organizations do not provide. Building the civilian equivalent requires deliberate construction rather than institutional provision.</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Early wins are not primarily about demonstrating competence. They are about establishing credibility — the earned confidence of the people around the new leader that this person understands what the organization needs and can deliver it.</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Securing early wins requires learning before acting, which requires resisting the bias toward action that most high-performing leaders — military leaders especially — carry as a default orientation into every new environment.</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Opening Hook</w:t>
      </w:r>
    </w:p>
    <w:p>
      <w:pPr>
        <w:spacing w:after="120" w:before="80"/>
      </w:pPr>
      <w:r>
        <w:rPr>
          <w:rFonts w:ascii="Arial" w:cs="Arial" w:eastAsia="Arial" w:hAnsi="Arial"/>
          <w:sz w:val="20"/>
          <w:szCs w:val="20"/>
        </w:rPr>
        <w:t xml:space="preserve">Every military leader who has assumed a new command knows the sequence. Before the change-of-command ceremony, there was a turnover brief. Before the brief, there were read-aheads. The outgoing commander walked through the personnel, the equipment, the readiness, the relationships, the ongoing operations, and the issues that would require immediate attention. The institutional structure provided a framework for the transition that made the first weeks navigable in ways that would otherwise be improvised.</w:t>
      </w:r>
    </w:p>
    <w:p>
      <w:pPr>
        <w:spacing w:after="120" w:before="80"/>
      </w:pPr>
      <w:r>
        <w:rPr>
          <w:rFonts w:ascii="Arial" w:cs="Arial" w:eastAsia="Arial" w:hAnsi="Arial"/>
          <w:sz w:val="20"/>
          <w:szCs w:val="20"/>
        </w:rPr>
        <w:t xml:space="preserve">In a civilian organization, there is no change-of-command sequence. There may be an onboarding program — usually a series of HR orientations and introductory meetings that provide administrative information but not the organizational intelligence the leader actually needs. There is no standardized turnover brief. There is no outgoing leader who is institutionally obligated to walk the new person through the landscape honestly. The military leader who assumes that the civilian onboarding process will provide what the military transition process provided will spend the first critical weeks building the wrong mental model of the organization, establishing relationships in the wrong sequence, and taking actions that, however competent, are not yet informed by an accurate reading of what the situation actually requires.</w:t>
      </w:r>
    </w:p>
    <w:p>
      <w:pPr>
        <w:spacing w:after="120" w:before="80"/>
      </w:pPr>
      <w:r>
        <w:rPr>
          <w:rFonts w:ascii="Arial" w:cs="Arial" w:eastAsia="Arial" w:hAnsi="Arial"/>
          <w:sz w:val="20"/>
          <w:szCs w:val="20"/>
        </w:rPr>
        <w:t xml:space="preserve">Michael Watkins wrote this book as the practical antidote to that cost. It does not address who the leader is becoming — the Foundational Canon handles that. It addresses what the leader should do next week, and the week after that, and the specific discipline of learning before acting that makes the first ninety days an asset rather than a liability.</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Book Analysis</w:t>
      </w:r>
    </w:p>
    <w:p>
      <w:pPr>
        <w:spacing w:after="160" w:before="80"/>
      </w:pPr>
      <w:r>
        <w:rPr>
          <w:rFonts w:ascii="Arial" w:cs="Arial" w:eastAsia="Arial" w:hAnsi="Arial"/>
          <w:i/>
          <w:iCs/>
          <w:color w:val="555555"/>
          <w:sz w:val="20"/>
          <w:szCs w:val="20"/>
        </w:rPr>
        <w:t xml:space="preserve">What Watkins argues — and why the situational diagnosis framework is the most practically valuable framework in the library for the leader in the first weeks of a new civilian role.</w:t>
      </w:r>
    </w:p>
    <w:p>
      <w:pPr>
        <w:pStyle w:val="Heading2"/>
        <w:spacing w:after="80" w:before="240"/>
      </w:pPr>
      <w:r>
        <w:rPr>
          <w:rFonts w:ascii="Arial" w:cs="Arial" w:eastAsia="Arial" w:hAnsi="Arial"/>
          <w:b/>
          <w:bCs/>
          <w:color w:val="2E5090"/>
          <w:sz w:val="22"/>
          <w:szCs w:val="22"/>
        </w:rPr>
        <w:t xml:space="preserve">The Central Argument</w:t>
      </w:r>
    </w:p>
    <w:p>
      <w:pPr>
        <w:spacing w:after="120" w:before="80"/>
      </w:pPr>
      <w:r>
        <w:rPr>
          <w:rFonts w:ascii="Arial" w:cs="Arial" w:eastAsia="Arial" w:hAnsi="Arial"/>
          <w:sz w:val="20"/>
          <w:szCs w:val="20"/>
        </w:rPr>
        <w:t xml:space="preserve">Watkins’ central argument is built around two claims that work together. The first is empirical: the first ninety days in a new leadership role are disproportionately consequential. The patterns established, the credibility built or eroded, the relationships formed and the intelligence gathered in that window shape everything that follows with a force that subsequent performance cannot easily overcome. A leader who establishes strong early momentum can absorb early mistakes; a leader who establishes weak early credibility finds that subsequent competence is discounted.</w:t>
      </w:r>
    </w:p>
    <w:p>
      <w:pPr>
        <w:spacing w:after="120" w:before="80"/>
      </w:pPr>
      <w:r>
        <w:rPr>
          <w:rFonts w:ascii="Arial" w:cs="Arial" w:eastAsia="Arial" w:hAnsi="Arial"/>
          <w:sz w:val="20"/>
          <w:szCs w:val="20"/>
        </w:rPr>
        <w:t xml:space="preserve">The second claim is diagnostic: transition failures are almost never failures of competence. They are failures of situational awareness — the application of an approach that worked in a previous context to a new context that requires something different. Watkins categorizes organizational situations along a spectrum he calls the STARS framework: start-up, turnaround, accelerated growth, realignment, and sustaining success. Each requires a fundamentally different leadership orientation in the first ninety days. The leader who applies a turnaround approach to a sustaining-success situation — who arrives as a change agent in an organization that does not need change — will generate resistance and damage credibility regardless of how skilled the change agency is. The diagnosis precedes the action, and the diagnosis is what most leaders skip.</w:t>
      </w:r>
    </w:p>
    <w:p>
      <w:pPr>
        <w:pStyle w:val="Heading2"/>
        <w:spacing w:after="80" w:before="240"/>
      </w:pPr>
      <w:r>
        <w:rPr>
          <w:rFonts w:ascii="Arial" w:cs="Arial" w:eastAsia="Arial" w:hAnsi="Arial"/>
          <w:b/>
          <w:bCs/>
          <w:color w:val="2E5090"/>
          <w:sz w:val="22"/>
          <w:szCs w:val="22"/>
        </w:rPr>
        <w:t xml:space="preserve">Key Frameworks and Ideas</w:t>
      </w:r>
    </w:p>
    <w:p>
      <w:pPr>
        <w:spacing w:after="120" w:before="80"/>
      </w:pPr>
      <w:r>
        <w:rPr>
          <w:rFonts w:ascii="Arial" w:cs="Arial" w:eastAsia="Arial" w:hAnsi="Arial"/>
          <w:sz w:val="20"/>
          <w:szCs w:val="20"/>
        </w:rPr>
        <w:t xml:space="preserve">The learning agenda is Watkins’ most immediately applicable framework. Before the new leader takes significant action in a new role, Watkins argues, they need a structured approach to learning: specific questions about the technical landscape, the cultural landscape, the political landscape, and the interpersonal landscape that will shape their effectiveness. The learning agenda is not the same as the read-ahead brief the military provides. It is the leader’s own construction of what they need to understand before they can act wisely — and it requires deliberate effort in civilian contexts where the institutional structure does not prompt it.</w:t>
      </w:r>
    </w:p>
    <w:p>
      <w:pPr>
        <w:spacing w:after="120" w:before="80"/>
      </w:pPr>
      <w:r>
        <w:rPr>
          <w:rFonts w:ascii="Arial" w:cs="Arial" w:eastAsia="Arial" w:hAnsi="Arial"/>
          <w:sz w:val="20"/>
          <w:szCs w:val="20"/>
        </w:rPr>
        <w:t xml:space="preserve">The early wins concept deserves specific attention because it is frequently misunderstood. Watkins is not prescribing superficial quick wins for political purposes. He is arguing that early wins serve a specific credibility function: they demonstrate to the organization that the new leader understands what matters, can identify where the system can be improved, and can deliver results in the specific domain that the organization recognizes as important. Early wins in the wrong domain — however genuinely impressive — do not build the right credibility. Early wins require understanding what the organization values before identifying where to direct early effort.</w:t>
      </w:r>
    </w:p>
    <w:p>
      <w:pPr>
        <w:spacing w:after="120" w:before="80"/>
      </w:pPr>
      <w:r>
        <w:rPr>
          <w:rFonts w:ascii="Arial" w:cs="Arial" w:eastAsia="Arial" w:hAnsi="Arial"/>
          <w:sz w:val="20"/>
          <w:szCs w:val="20"/>
        </w:rPr>
        <w:t xml:space="preserve">The book’s primary limitation is one of breadth versus depth. Watkins covers a great deal of ground — situational diagnosis, coalition building, organizational alignment, team assessment, personal transition management — and covers each with useful frameworks but limited depth. The reader who encounters a specific challenge in their first ninety days will find the relevant framework in Watkins as a starting point, but will likely need to go further. The book is best understood as a comprehensive map rather than a detailed guide to any single territory.</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Leadership Transition Commentary</w:t>
      </w:r>
    </w:p>
    <w:p>
      <w:pPr>
        <w:spacing w:after="120" w:before="80"/>
      </w:pPr>
      <w:r>
        <w:rPr>
          <w:rFonts w:ascii="Arial" w:cs="Arial" w:eastAsia="Arial" w:hAnsi="Arial"/>
          <w:sz w:val="20"/>
          <w:szCs w:val="20"/>
        </w:rPr>
        <w:t xml:space="preserve">The most important translation this book requires for the military reader is not conceptual. It is structural. Military leaders arrive in new roles with an institutional onboarding architecture that civilian organizations do not replicate: the turnover brief that transfers organizational intelligence from the outgoing to the incoming leader; the battle rhythm that establishes the recurring cadence of leadership activity; the command climate assessment that gives the new leader structured intelligence about how the organization is functioning. These are not luxuries. They are the mechanisms through which a new military leader, in the first weeks of command, builds the situational awareness that makes early decisions informed rather than improvised.</w:t>
      </w:r>
    </w:p>
    <w:p>
      <w:pPr>
        <w:spacing w:after="120" w:before="80"/>
      </w:pPr>
      <w:r>
        <w:rPr>
          <w:rFonts w:ascii="Arial" w:cs="Arial" w:eastAsia="Arial" w:hAnsi="Arial"/>
          <w:sz w:val="20"/>
          <w:szCs w:val="20"/>
        </w:rPr>
        <w:t xml:space="preserve">Civilian organizations do not provide these mechanisms by institutional design. The new civilian leader must construct them personally, without prompting, in an environment that may not recognize why they are necessary. This is not primarily a cultural difference — though culture plays a role. It is a structural one. The military’s change-of-command process exists because experience demonstrated that unstructured leadership transitions are expensive. Civilian organizations, on average, have not built the same institutional response to that lesson. The incoming leader pays the cost of that gap unless they fill it themselves.</w:t>
      </w:r>
    </w:p>
    <w:p>
      <w:pPr>
        <w:spacing w:after="120" w:before="80"/>
      </w:pPr>
      <w:r>
        <w:rPr>
          <w:rFonts w:ascii="Arial" w:cs="Arial" w:eastAsia="Arial" w:hAnsi="Arial"/>
          <w:sz w:val="20"/>
          <w:szCs w:val="20"/>
        </w:rPr>
        <w:t xml:space="preserve">The specific civilian equivalents of military onboarding tools are worth naming explicitly, because the translation is not always obvious. The turnover brief’s civilian equivalent is the structured listening tour: a deliberate sequence of conversations with direct reports, peers, key stakeholders, and predecessor if available, organized around specific questions designed to build an accurate picture of the organizational landscape before significant decisions are made. The battle rhythm’s civilian equivalent is the meeting architecture the new leader establishes in the first thirty days: the recurring cadences that provide consistent intelligence about what is happening across the organization. The command climate assessment’s civilian equivalent is the leader’s early and systematic attention to the cultural signals — how people talk about the organization, what they avoid saying, what the informal power structures look like, how decisions actually get made — that tell a more accurate story than the organizational chart.</w:t>
      </w:r>
    </w:p>
    <w:p>
      <w:pPr>
        <w:spacing w:after="120" w:before="80"/>
      </w:pPr>
      <w:r>
        <w:rPr>
          <w:rFonts w:ascii="Arial" w:cs="Arial" w:eastAsia="Arial" w:hAnsi="Arial"/>
          <w:sz w:val="20"/>
          <w:szCs w:val="20"/>
        </w:rPr>
        <w:t xml:space="preserve">The STARS situational diagnosis is the framework military leaders are most likely to skip and most likely to need. Military leaders who excelled in turnaround contexts — in commands that were underperforming and required significant change — often carry a change-agent default that serves them poorly when they enter a civilian organization that is functioning adequately and needs development rather than disruption. Conversely, military leaders who excelled in sustaining-success contexts — maintaining high performance in mature, high-functioning units — may be insufficiently assertive when they enter a civilian organization that genuinely needs a turnaround. The diagnosis is not self-evident, and the failure to perform it costs more than most new leaders expect.</w:t>
      </w:r>
    </w:p>
    <w:p>
      <w:pPr>
        <w:spacing w:after="120" w:before="80"/>
      </w:pPr>
      <w:r>
        <w:rPr>
          <w:rFonts w:ascii="Arial" w:cs="Arial" w:eastAsia="Arial" w:hAnsi="Arial"/>
          <w:sz w:val="20"/>
          <w:szCs w:val="20"/>
        </w:rPr>
        <w:t xml:space="preserve">The most honest limitation Watkins’ framework does not fully address is the specific challenge of the military leader who is not just new to a role but new to a sector. Most of the book’s examples involve leaders moving within a professional context they understand — executives changing companies, managers moving to new divisions. The military leader entering a civilian industry for the first time faces a more significant knowledge gap than these examples anticipate. The learning agenda is even more important, the timeline for learning before acting is even longer, and the risk of premature action based on misread organizational signals is even higher. Watkins’ framework is correct; its application requires more patience than the book’s timeline implies for the reader making a genuinely cross-sector transition.</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Practical Applications</w:t>
      </w:r>
    </w:p>
    <w:p>
      <w:pPr>
        <w:pStyle w:val="ListParagraph"/>
        <w:numPr>
          <w:ilvl w:val="0"/>
          <w:numId w:val="2"/>
        </w:numPr>
        <w:spacing w:after="100" w:before="80"/>
      </w:pPr>
      <w:r>
        <w:rPr>
          <w:rFonts w:ascii="Arial" w:cs="Arial" w:eastAsia="Arial" w:hAnsi="Arial"/>
          <w:sz w:val="20"/>
          <w:szCs w:val="20"/>
        </w:rPr>
        <w:t xml:space="preserve">Before your first day in a new civilian role, diagnose the situation using the STARS framework. Is this a start-up, a turnaround, an accelerated growth environment, a realignment, or a sustaining-success context? The answer determines the appropriate leadership orientation for the first ninety days. If the answer is unclear, the first thirty days should be devoted substantially to gathering the information needed to answer it. The most expensive mistake in a new role is choosing the approach before completing the diagnosis.</w:t>
      </w:r>
    </w:p>
    <w:p>
      <w:pPr>
        <w:pStyle w:val="ListParagraph"/>
        <w:numPr>
          <w:ilvl w:val="0"/>
          <w:numId w:val="2"/>
        </w:numPr>
        <w:spacing w:after="100" w:before="80"/>
      </w:pPr>
      <w:r>
        <w:rPr>
          <w:rFonts w:ascii="Arial" w:cs="Arial" w:eastAsia="Arial" w:hAnsi="Arial"/>
          <w:sz w:val="20"/>
          <w:szCs w:val="20"/>
        </w:rPr>
        <w:t xml:space="preserve">Build a listening tour before building a battle rhythm. In the first two to three weeks of a new civilian role, conduct structured conversations with every direct report, key peer, and significant stakeholder using the same core questions: What is working well that I should protect? What needs to change? What do you wish the previous leader had known? What are you most concerned about? What would early success look like to you? The intelligence these conversations generate is the foundation on which every subsequent decision rests.</w:t>
      </w:r>
    </w:p>
    <w:p>
      <w:pPr>
        <w:pStyle w:val="ListParagraph"/>
        <w:numPr>
          <w:ilvl w:val="0"/>
          <w:numId w:val="2"/>
        </w:numPr>
        <w:spacing w:after="100" w:before="80"/>
      </w:pPr>
      <w:r>
        <w:rPr>
          <w:rFonts w:ascii="Arial" w:cs="Arial" w:eastAsia="Arial" w:hAnsi="Arial"/>
          <w:sz w:val="20"/>
          <w:szCs w:val="20"/>
        </w:rPr>
        <w:t xml:space="preserve">Establish your meeting architecture in the first thirty days. In the absence of an institutional battle rhythm, design one: what recurring meetings will you establish, at what cadence, with which participants, for what purpose? One-on-ones with direct reports, team meetings, cross-functional touchpoints, and a personal weekly planning session are the minimum. The architecture signals to the organization what the leader considers important and establishes the intelligence channels that make ongoing situational awareness possible.</w:t>
      </w:r>
    </w:p>
    <w:p>
      <w:pPr>
        <w:pStyle w:val="ListParagraph"/>
        <w:numPr>
          <w:ilvl w:val="0"/>
          <w:numId w:val="2"/>
        </w:numPr>
        <w:spacing w:after="100" w:before="80"/>
      </w:pPr>
      <w:r>
        <w:rPr>
          <w:rFonts w:ascii="Arial" w:cs="Arial" w:eastAsia="Arial" w:hAnsi="Arial"/>
          <w:sz w:val="20"/>
          <w:szCs w:val="20"/>
        </w:rPr>
        <w:t xml:space="preserve">Identify early wins in the domain the organization recognizes as important — not in the domain where your skills are strongest. The credibility-building function of early wins requires understanding what the organization values before identifying where to direct early effort. Ask specifically: what problem has this organization been trying to solve? What result would make the people around you feel confident they made the right choice? Deliver that result first, even if a different result would be more impressive by external standards.</w:t>
      </w:r>
    </w:p>
    <w:p>
      <w:pPr>
        <w:pStyle w:val="ListParagraph"/>
        <w:numPr>
          <w:ilvl w:val="0"/>
          <w:numId w:val="2"/>
        </w:numPr>
        <w:spacing w:after="100" w:before="80"/>
      </w:pPr>
      <w:r>
        <w:rPr>
          <w:rFonts w:ascii="Arial" w:cs="Arial" w:eastAsia="Arial" w:hAnsi="Arial"/>
          <w:sz w:val="20"/>
          <w:szCs w:val="20"/>
        </w:rPr>
        <w:t xml:space="preserve">Read this book before, not after, beginning a new civilian role. Its value is almost entirely prospective: the frameworks it provides help the leader design the right first ninety days before they begin. Read after the fact, it primarily explains what went wrong. The military leader who reads it six months into a new role that has not gained the traction they expected will find it more diagnostic than practical. Read three months before beginning, it is the most operationally useful book in the library.</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Reflection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Identity &amp; Self-Awareness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Watkins argues that transition failures are almost never failures of competence but of situational misreading — the application of the right approach to the wrong context. Looking at any civilian role you have entered or are about to enter, what is your default leadership orientation: change agent, sustainer, builder? And does that orientation match what the specific situation actually requires, or is it what you are most comfortable with and most skilled at?</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Transition Experience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military’s change-of-command process provides structured intelligence that civilian onboarding does not. In the new civilian role you are entering or have recently entered, what do you not yet know that a proper turnover brief would have told you? How are you gathering that intelligence now, and is the approach systematic enough to be reliable, or are you depending on information that happens to reach you rather than information you are actively pursuing?</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Purpose &amp; Legacy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Early wins are about establishing credibility in the domains the organization values. Looking at the organization you are entering or recently entered, what does that organization — not you, not your previous institution, but this specific organization — consider meaningful success in the first year? How closely does your answer to that question align with what you had been planning to accomplish? Where are the gaps?</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Book-Specific Application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book’s limitation for the cross-sector military transition is the timeline: learning before acting takes longer when the sector is genuinely new, and the patience required to resist premature action may be more than the ninety-day frame implies. In your specific transition context, what is the honest timeline for reaching the level of organizational understanding that makes significant action wise rather than premature? What needs to happen in that interval, and who needs to be in the conversation?</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Cross-Book Wisdom Connections</w:t>
      </w:r>
    </w:p>
    <w:p>
      <w:pPr>
        <w:spacing w:after="160" w:before="80"/>
      </w:pPr>
      <w:r>
        <w:rPr>
          <w:rFonts w:ascii="Arial" w:cs="Arial" w:eastAsia="Arial" w:hAnsi="Arial"/>
          <w:i/>
          <w:iCs/>
          <w:color w:val="555555"/>
          <w:sz w:val="20"/>
          <w:szCs w:val="20"/>
        </w:rPr>
        <w:t xml:space="preserve">The First 90 Days is the library’s operational bridge — the book that connects the philosophical and identity work of the Foundational Canon to the practical execution of civilian integration. Its connections run to the character framework that makes the learning-before-acting discipline sustainable, to the accountability philosophy that the first 90 days’ situational ownership requires, and to the Stoic tradition that provides the equanimity the transition period demands.</w:t>
      </w:r>
    </w:p>
    <w:p>
      <w:pPr>
        <w:spacing w:after="60" w:before="200"/>
      </w:pPr>
      <w:r>
        <w:rPr>
          <w:rFonts w:ascii="Arial" w:cs="Arial" w:eastAsia="Arial" w:hAnsi="Arial"/>
          <w:b/>
          <w:bCs/>
          <w:color w:val="1F3864"/>
          <w:sz w:val="20"/>
          <w:szCs w:val="20"/>
        </w:rPr>
        <w:t xml:space="preserve">Connection 1 — </w:t>
      </w:r>
      <w:r>
        <w:rPr>
          <w:rFonts w:ascii="Arial" w:cs="Arial" w:eastAsia="Arial" w:hAnsi="Arial"/>
          <w:b/>
          <w:bCs/>
          <w:sz w:val="20"/>
          <w:szCs w:val="20"/>
        </w:rPr>
        <w:t xml:space="preserve">Extreme Ownership by Jocko Willink and Leif Babin  </w:t>
      </w:r>
      <w:r>
        <w:rPr>
          <w:rFonts w:ascii="Arial" w:cs="Arial" w:eastAsia="Arial" w:hAnsi="Arial"/>
          <w:i/>
          <w:iCs/>
          <w:color w:val="555555"/>
          <w:sz w:val="18"/>
          <w:szCs w:val="18"/>
        </w:rPr>
        <w:t xml:space="preserve">[Extension · Adaptability + Leadership]</w:t>
      </w:r>
    </w:p>
    <w:p>
      <w:pPr>
        <w:spacing w:after="120" w:before="80"/>
      </w:pPr>
      <w:r>
        <w:rPr>
          <w:rFonts w:ascii="Arial" w:cs="Arial" w:eastAsia="Arial" w:hAnsi="Arial"/>
          <w:sz w:val="20"/>
          <w:szCs w:val="20"/>
        </w:rPr>
        <w:t xml:space="preserve">Willink’s extreme ownership philosophy and Watkins’ first-ninety-days framework are complementary prescriptions for the same leadership moment: the arrival in a new context where the leader’s prior success provides credibility but not yet situational knowledge. Extreme ownership applied to the first ninety days means owning the learning agenda completely — not waiting for the organization to provide the information the leader needs, not attributing early difficulties to the civilian culture’s inadequacy, but accepting full accountability for building the situational awareness that effective action requires. The extension relationship is specific: Watkins provides the framework and sequence (diagnose, learn, then act); Willink provides the accountability orientation that makes that sequence sustainable under the pressure to demonstrate competence before the learning is complete. A military leader who combines Watkins’ structured approach to the first ninety days with Willink’s ownership of every outcome has the most complete operational framework the library offers for the early civilian leadership period.</w:t>
      </w:r>
    </w:p>
    <w:p>
      <w:pPr>
        <w:spacing w:after="60" w:before="200"/>
      </w:pPr>
      <w:r>
        <w:rPr>
          <w:rFonts w:ascii="Arial" w:cs="Arial" w:eastAsia="Arial" w:hAnsi="Arial"/>
          <w:b/>
          <w:bCs/>
          <w:color w:val="1F3864"/>
          <w:sz w:val="20"/>
          <w:szCs w:val="20"/>
        </w:rPr>
        <w:t xml:space="preserve">Connection 2 — </w:t>
      </w:r>
      <w:r>
        <w:rPr>
          <w:rFonts w:ascii="Arial" w:cs="Arial" w:eastAsia="Arial" w:hAnsi="Arial"/>
          <w:b/>
          <w:bCs/>
          <w:sz w:val="20"/>
          <w:szCs w:val="20"/>
        </w:rPr>
        <w:t xml:space="preserve">The Obstacle Is the Way by Ryan Holiday  </w:t>
      </w:r>
      <w:r>
        <w:rPr>
          <w:rFonts w:ascii="Arial" w:cs="Arial" w:eastAsia="Arial" w:hAnsi="Arial"/>
          <w:i/>
          <w:iCs/>
          <w:color w:val="555555"/>
          <w:sz w:val="18"/>
          <w:szCs w:val="18"/>
        </w:rPr>
        <w:t xml:space="preserve">[Convergence · Adaptability + Reinvention]</w:t>
      </w:r>
    </w:p>
    <w:p>
      <w:pPr>
        <w:spacing w:after="120" w:before="80"/>
      </w:pPr>
      <w:r>
        <w:rPr>
          <w:rFonts w:ascii="Arial" w:cs="Arial" w:eastAsia="Arial" w:hAnsi="Arial"/>
          <w:sz w:val="20"/>
          <w:szCs w:val="20"/>
        </w:rPr>
        <w:t xml:space="preserve">The first ninety days in a civilian role present, reliably and predictably, a series of obstacles: organizational politics the leader did not anticipate, cultural norms that conflict with established instincts, a pace of decision-making that does not match the operational tempo the leader is accustomed to, and early feedback that the approach needs adjustment. Holiday’s framework — perception, action, will — applied to those specific obstacles is the Stoic complement to Watkins’ practical guidance. The perception discipline keeps the leader from catastrophizing early friction as evidence of a fundamentally wrong fit. The action discipline keeps them engaged and iterating rather than waiting for conditions to improve. The will discipline sustains them through the period, which in a genuinely cross-sector transition may be longer than ninety days, before the competence and credibility they built over a career becomes visible in the new context. Watkins describes the path; Holiday describes the orientation with which the leader walks it.</w:t>
      </w:r>
    </w:p>
    <w:p>
      <w:pPr>
        <w:spacing w:after="60" w:before="200"/>
      </w:pPr>
      <w:r>
        <w:rPr>
          <w:rFonts w:ascii="Arial" w:cs="Arial" w:eastAsia="Arial" w:hAnsi="Arial"/>
          <w:b/>
          <w:bCs/>
          <w:color w:val="1F3864"/>
          <w:sz w:val="20"/>
          <w:szCs w:val="20"/>
        </w:rPr>
        <w:t xml:space="preserve">Connection 3 — </w:t>
      </w:r>
      <w:r>
        <w:rPr>
          <w:rFonts w:ascii="Arial" w:cs="Arial" w:eastAsia="Arial" w:hAnsi="Arial"/>
          <w:b/>
          <w:bCs/>
          <w:sz w:val="20"/>
          <w:szCs w:val="20"/>
        </w:rPr>
        <w:t xml:space="preserve">Good to Great by Jim Collins  </w:t>
      </w:r>
      <w:r>
        <w:rPr>
          <w:rFonts w:ascii="Arial" w:cs="Arial" w:eastAsia="Arial" w:hAnsi="Arial"/>
          <w:i/>
          <w:iCs/>
          <w:color w:val="555555"/>
          <w:sz w:val="18"/>
          <w:szCs w:val="18"/>
        </w:rPr>
        <w:t xml:space="preserve">[Foundation · Leadership + Adaptability]</w:t>
      </w:r>
    </w:p>
    <w:p>
      <w:pPr>
        <w:spacing w:after="120" w:before="80"/>
      </w:pPr>
      <w:r>
        <w:rPr>
          <w:rFonts w:ascii="Arial" w:cs="Arial" w:eastAsia="Arial" w:hAnsi="Arial"/>
          <w:sz w:val="20"/>
          <w:szCs w:val="20"/>
        </w:rPr>
        <w:t xml:space="preserve">Collins’ STARS framework and Level 5 Leadership intersect in the first ninety days in a specific and important way. The Level 5 leader’s personal humility — the genuine orientation toward learning and accurate assessment rather than toward the demonstration of competence — is precisely the character foundation that Watkins’ first-ninety-days framework requires to function. A leader who enters a new role with a Level 4 orientation — highly capable, but primarily concerned with demonstrating personal competence — will find Watkins’ prescription to learn before acting in direct conflict with their instincts. The Level 5 leader, by contrast, brings an authenticity to the listening tour, the STARS diagnosis, and the early-win identification process that makes the framework more than a technique: it becomes an expression of the character orientation that Collins’ research identified as the foundation of sustained organizational excellence. The Foundation relationship is this: Level 5 character is what makes the First 90 Days framework work in practice rather than in theory.</w:t>
      </w:r>
    </w:p>
    <w:p>
      <w:pPr>
        <w:spacing w:after="60" w:before="200"/>
      </w:pPr>
      <w:r>
        <w:rPr>
          <w:rFonts w:ascii="Arial" w:cs="Arial" w:eastAsia="Arial" w:hAnsi="Arial"/>
          <w:b/>
          <w:bCs/>
          <w:color w:val="1F3864"/>
          <w:sz w:val="20"/>
          <w:szCs w:val="20"/>
        </w:rPr>
        <w:t xml:space="preserve">Connection 4 — </w:t>
      </w:r>
      <w:r>
        <w:rPr>
          <w:rFonts w:ascii="Arial" w:cs="Arial" w:eastAsia="Arial" w:hAnsi="Arial"/>
          <w:b/>
          <w:bCs/>
          <w:sz w:val="20"/>
          <w:szCs w:val="20"/>
        </w:rPr>
        <w:t xml:space="preserve">Leadership and Self-Deception by The Arbinger Institute  </w:t>
      </w:r>
      <w:r>
        <w:rPr>
          <w:rFonts w:ascii="Arial" w:cs="Arial" w:eastAsia="Arial" w:hAnsi="Arial"/>
          <w:i/>
          <w:iCs/>
          <w:color w:val="555555"/>
          <w:sz w:val="18"/>
          <w:szCs w:val="18"/>
        </w:rPr>
        <w:t xml:space="preserve">[Prerequisite · Adaptability + Reinvention]</w:t>
      </w:r>
    </w:p>
    <w:p>
      <w:pPr>
        <w:spacing w:after="120" w:before="80"/>
      </w:pPr>
      <w:r>
        <w:rPr>
          <w:rFonts w:ascii="Arial" w:cs="Arial" w:eastAsia="Arial" w:hAnsi="Arial"/>
          <w:sz w:val="20"/>
          <w:szCs w:val="20"/>
        </w:rPr>
        <w:t xml:space="preserve">Arbinger’s self-deception framework is the prerequisite for Watkins’ learning agenda in a specific and practically important sense: a leader who arrives in a new civilian role in the box — whose perception of the organization, its people, and its culture is already organized around a self-justifying narrative before the learning begins — will conduct a listening tour that confirms what they already believe rather than surfacing what they actually need to know. The Prerequisite relationship is direct: the genuine curiosity and openness that Watkins’ listening-before-acting framework requires is available only to a leader who is out of the box. A leader whose self-deception leads them to interpret organizational feedback as evidence of the organization’s deficiencies rather than as information about what the new context requires will complete the first ninety days having learned less than they needed to and having acted more than the learning justified. Arbinger’s self-examination is the inner work that Watkins’ outer framework presupposes.</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Closing Reflection</w:t>
      </w:r>
    </w:p>
    <w:p>
      <w:pPr>
        <w:spacing w:after="120" w:before="80"/>
      </w:pPr>
      <w:r>
        <w:rPr>
          <w:rFonts w:ascii="Arial" w:cs="Arial" w:eastAsia="Arial" w:hAnsi="Arial"/>
          <w:sz w:val="20"/>
          <w:szCs w:val="20"/>
        </w:rPr>
        <w:t xml:space="preserve">The military institution’s most significant practical gift to its leaders is something they rarely appreciate until it is absent: the assumption of competence. When a military leader assumes a new command, the organization around them assumes that the institution’s selection and development process has produced someone capable of doing the job. The first weeks are about establishing the specific texture of the new leader’s competence and character, not about proving the existence of either. That assumption does not transfer to civilian organizations. The new civilian leader, however decorated the military career, arrives without the institutional credibility endorsement. They earn the civilian organization’s confidence the same way every new leader does: through the quality of their early decisions, the accuracy of their situational reading, and the credibility they build in the specific domains the organization values.</w:t>
      </w:r>
    </w:p>
    <w:p>
      <w:pPr>
        <w:spacing w:after="120" w:before="80"/>
      </w:pPr>
      <w:r>
        <w:rPr>
          <w:rFonts w:ascii="Arial" w:cs="Arial" w:eastAsia="Arial" w:hAnsi="Arial"/>
          <w:sz w:val="20"/>
          <w:szCs w:val="20"/>
        </w:rPr>
        <w:t xml:space="preserve">Watkins’ framework is the practical architecture for earning that credibility deliberately rather than by accident. It does not make the first ninety days easy. It makes them legible — it provides a map for terrain that would otherwise be navigated by improvisation. The military leader who reads it before beginning a new civilian role will find that it translates their existing strengths — discipline, situational awareness, the ability to build accurate mental models quickly under pressure — into a civilian onboarding context that most of their civilian peers have never thought about systematically.</w:t>
      </w:r>
    </w:p>
    <w:p>
      <w:pPr>
        <w:spacing w:after="120" w:before="80"/>
      </w:pPr>
      <w:r>
        <w:rPr>
          <w:rFonts w:ascii="Arial" w:cs="Arial" w:eastAsia="Arial" w:hAnsi="Arial"/>
          <w:sz w:val="20"/>
          <w:szCs w:val="20"/>
        </w:rPr>
        <w:t xml:space="preserve">The most important thing the book does not say, but implies, is this: the first ninety days are not primarily about the leader. They are about the organization. The leader who enters a new role asking primarily what the organization can do for them — how it will use their skills, validate their experience, reward their contribution — is asking the wrong question. The leader who enters asking what the organization needs, what problems genuinely require their specific capabilities, and how their presence can make the people around them more effective — that leader is asking the Greenleaf question. And the first ninety days, for all their practical complexity, are ultimately an extended opportunity to answer it.</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Related Books</w:t>
      </w:r>
    </w:p>
    <w:p>
      <w:pPr>
        <w:spacing w:after="160" w:before="80"/>
      </w:pPr>
      <w:r>
        <w:rPr>
          <w:rFonts w:ascii="Arial" w:cs="Arial" w:eastAsia="Arial" w:hAnsi="Arial"/>
          <w:i/>
          <w:iCs/>
          <w:color w:val="555555"/>
          <w:sz w:val="20"/>
          <w:szCs w:val="20"/>
        </w:rPr>
        <w:t xml:space="preserve">These titles extend the first-ninety-days framework across the specific domains where its application is most demanding for the military leader in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Book &amp; Author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the Connection Matters for This Reader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Extreme Ownership</w:t>
            </w:r>
          </w:p>
          <w:p>
            <w:r>
              <w:rPr>
                <w:rFonts w:ascii="Arial" w:cs="Arial" w:eastAsia="Arial" w:hAnsi="Arial"/>
                <w:i/>
                <w:iCs/>
                <w:color w:val="555555"/>
                <w:sz w:val="16"/>
                <w:szCs w:val="16"/>
              </w:rPr>
              <w:t xml:space="preserve">·  Willink &amp; Babin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accountability complement — Willink’s ownership orientation applied to the learning agenda: taking full responsibility for building situational awareness rather than waiting for the organization to provide it.</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Good to Great</w:t>
            </w:r>
          </w:p>
          <w:p>
            <w:r>
              <w:rPr>
                <w:rFonts w:ascii="Arial" w:cs="Arial" w:eastAsia="Arial" w:hAnsi="Arial"/>
                <w:i/>
                <w:iCs/>
                <w:color w:val="555555"/>
                <w:sz w:val="16"/>
                <w:szCs w:val="16"/>
              </w:rPr>
              <w:t xml:space="preserve">·  Jim Collins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character foundation — Level 5 personal humility is what makes the listening-before-acting discipline sustainable under the pressure to demonstrate competence; Watkins’ framework works best with Collins’ character beneath it.</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Leadership and Self-Deception</w:t>
            </w:r>
          </w:p>
          <w:p>
            <w:r>
              <w:rPr>
                <w:rFonts w:ascii="Arial" w:cs="Arial" w:eastAsia="Arial" w:hAnsi="Arial"/>
                <w:i/>
                <w:iCs/>
                <w:color w:val="555555"/>
                <w:sz w:val="16"/>
                <w:szCs w:val="16"/>
              </w:rPr>
              <w:t xml:space="preserve">·  The Arbinger Institute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prerequisite — the genuine curiosity Watkins’ learning agenda requires is available only to a leader who is out of the box; Arbinger’s self-examination is the inner work Watkins’ outer framework presupposes.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The Obstacle Is the Way</w:t>
            </w:r>
          </w:p>
          <w:p>
            <w:r>
              <w:rPr>
                <w:rFonts w:ascii="Arial" w:cs="Arial" w:eastAsia="Arial" w:hAnsi="Arial"/>
                <w:i/>
                <w:iCs/>
                <w:color w:val="555555"/>
                <w:sz w:val="16"/>
                <w:szCs w:val="16"/>
              </w:rPr>
              <w:t xml:space="preserve">·  Ryan Holiday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Stoic complement — Holiday’s perception, action, and will disciplines applied to the specific obstacles of the first ninety days in a genuinely new context.</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The Effective Executive</w:t>
            </w:r>
          </w:p>
          <w:p>
            <w:r>
              <w:rPr>
                <w:rFonts w:ascii="Arial" w:cs="Arial" w:eastAsia="Arial" w:hAnsi="Arial"/>
                <w:i/>
                <w:iCs/>
                <w:color w:val="555555"/>
                <w:sz w:val="16"/>
                <w:szCs w:val="16"/>
              </w:rPr>
              <w:t xml:space="preserve">·  Peter Drucker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organizational companion — Drucker’s framework for executive effectiveness picks up where Watkins’ ninety-day window closes, providing the ongoing discipline of time management and contribution focus that follows successful onboarding.</w:t>
            </w:r>
          </w:p>
        </w:tc>
      </w:tr>
    </w:tbl>
    <w:p>
      <w:pPr>
        <w:spacing w:after="60" w:before="60"/>
      </w:pPr>
      <w:r>
        <w:t xml:space="preserve"/>
      </w:r>
    </w:p>
    <w:p>
      <w:pPr>
        <w:pBdr>
          <w:top w:val="single" w:color="1F3864" w:sz="4" w:space="4"/>
        </w:pBdr>
        <w:spacing w:after="0" w:before="240"/>
      </w:pPr>
      <w:r>
        <w:rPr>
          <w:rFonts w:ascii="Arial" w:cs="Arial" w:eastAsia="Arial" w:hAnsi="Arial"/>
          <w:color w:val="777777"/>
          <w:sz w:val="16"/>
          <w:szCs w:val="16"/>
        </w:rPr>
        <w:t xml:space="preserve">Search Keywords:  first 90 days  ·  Watkins  ·  onboarding  ·  STARS  ·  civilian integration  ·  new role  ·  early wins  ·  listening tour  ·  military transition  ·  second career</w:t>
      </w:r>
    </w:p>
    <w:p>
      <w:pPr>
        <w:spacing w:after="0" w:before="60"/>
      </w:pPr>
      <w:r>
        <w:rPr>
          <w:rFonts w:ascii="Arial" w:cs="Arial" w:eastAsia="Arial" w:hAnsi="Arial"/>
          <w:color w:val="777777"/>
          <w:sz w:val="16"/>
          <w:szCs w:val="16"/>
        </w:rPr>
        <w:t xml:space="preserve">Leadership Through Transition  ·  Book Entry  ·  Version 1.0  ·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2026-06-12T16:50:23.308Z</dcterms:created>
  <dcterms:modified xsi:type="dcterms:W3CDTF">2026-06-12T16:50:23.309Z</dcterms:modified>
</cp:coreProperties>
</file>

<file path=docProps/custom.xml><?xml version="1.0" encoding="utf-8"?>
<Properties xmlns="http://schemas.openxmlformats.org/officeDocument/2006/custom-properties" xmlns:vt="http://schemas.openxmlformats.org/officeDocument/2006/docPropsVTypes"/>
</file>