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A8E"/>
          <w:sz w:val="24"/>
          <w:szCs w:val="24"/>
        </w:rPr>
        <w:t xml:space="preserve">LEADERSHIP THROUGH TRANSITION  ·  BOOK ENTRY</w:t>
      </w:r>
    </w:p>
    <w:p>
      <w:pPr>
        <w:pBdr>
          <w:bottom w:val="single" w:color="2E4A8E" w:sz="4" w:space="1"/>
        </w:pBdr>
        <w:spacing w:after="120" w:before="120"/>
      </w:pPr>
    </w:p>
    <w:p>
      <w:pPr>
        <w:spacing w:after="80" w:before="80"/>
      </w:pPr>
    </w:p>
    <w:p>
      <w:pPr>
        <w:spacing w:after="60" w:before="80"/>
        <w:jc w:val="center"/>
      </w:pPr>
      <w:r>
        <w:rPr>
          <w:rFonts w:ascii="Arial" w:cs="Arial" w:eastAsia="Arial" w:hAnsi="Arial"/>
          <w:b/>
          <w:bCs/>
          <w:sz w:val="36"/>
          <w:szCs w:val="36"/>
        </w:rPr>
        <w:t xml:space="preserve">Man’s Search for Meaning</w:t>
      </w:r>
    </w:p>
    <w:p>
      <w:pPr>
        <w:spacing w:after="80" w:before="0"/>
        <w:jc w:val="center"/>
      </w:pPr>
      <w:r>
        <w:rPr>
          <w:rFonts w:ascii="Arial" w:cs="Arial" w:eastAsia="Arial" w:hAnsi="Arial"/>
          <w:sz w:val="24"/>
          <w:szCs w:val="24"/>
        </w:rPr>
        <w:t xml:space="preserve">Viktor Frankl  ·  1946</w:t>
      </w:r>
    </w:p>
    <w:p>
      <w:pPr>
        <w:spacing w:after="200" w:before="0"/>
        <w:jc w:val="center"/>
      </w:pPr>
      <w:r>
        <w:rPr>
          <w:rFonts w:ascii="Arial" w:cs="Arial" w:eastAsia="Arial" w:hAnsi="Arial"/>
          <w:i/>
          <w:iCs/>
          <w:sz w:val="20"/>
          <w:szCs w:val="20"/>
        </w:rPr>
        <w:t xml:space="preserve">A psychiatrist who survived the Nazi death camps argues that the defining human freedom is the choice of how we respond to suffering — and that meaning, not pleasure or power, is what sustains the human spirit.</w:t>
      </w:r>
    </w:p>
    <w:p>
      <w:pPr>
        <w:pBdr>
          <w:bottom w:val="single" w:color="2E4A8E" w:sz="4" w:space="1"/>
        </w:pBdr>
        <w:spacing w:after="120" w:before="120"/>
      </w:pPr>
    </w:p>
    <w:p>
      <w:pPr>
        <w:pStyle w:val="Heading2"/>
        <w:spacing w:after="120" w:before="240"/>
      </w:pPr>
      <w:r>
        <w:rPr>
          <w:rFonts w:ascii="Arial" w:cs="Arial" w:eastAsia="Arial" w:hAnsi="Arial"/>
          <w:b/>
          <w:bCs/>
          <w:sz w:val="24"/>
          <w:szCs w:val="24"/>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Library Tier</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Canon Status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Foundational Canon  ·  Philosophy &amp; Meaning Canon</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Node Tier</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Node — 5 Wisdom Themes (highest structural tier)</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Categories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Philosophy  ·  Psychology  ·  Personal Development</w:t>
            </w:r>
          </w:p>
        </w:tc>
      </w:tr>
    </w:tbl>
    <w:p>
      <w:pPr>
        <w:spacing w:after="80" w:before="80"/>
      </w:pPr>
    </w:p>
    <w:p>
      <w:pPr>
        <w:pStyle w:val="Heading2"/>
        <w:spacing w:after="120" w:before="240"/>
      </w:pPr>
      <w:r>
        <w:rPr>
          <w:rFonts w:ascii="Arial" w:cs="Arial" w:eastAsia="Arial" w:hAnsi="Arial"/>
          <w:b/>
          <w:bCs/>
          <w:sz w:val="24"/>
          <w:szCs w:val="24"/>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Leadership Themes</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Resilience  ·  Self-Awareness  ·  Character  ·  Discipline  ·  Humility  ·  Courage</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Transition Themes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Identity  ·  Purpose  ·  Meaning  ·  Uncertainty  ·  Personal Growth</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Reading Pathways</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Finding Purpose After Service  ·  Identity Beyond Rank  ·  Resilience Under Pressure  ·  Preparing for Retirement  ·  Personal Growth &amp; Reflection</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Cross-Book Wisdom Themes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Meaning  ·  Purpose  ·  Identity  ·  Resilience  ·  Character</w:t>
            </w:r>
          </w:p>
        </w:tc>
      </w:tr>
    </w:tbl>
    <w:p>
      <w:pPr>
        <w:spacing w:after="80" w:before="80"/>
      </w:pPr>
    </w:p>
    <w:p>
      <w:pPr>
        <w:pStyle w:val="Heading2"/>
        <w:spacing w:after="120" w:before="240"/>
      </w:pPr>
      <w:r>
        <w:rPr>
          <w:rFonts w:ascii="Arial" w:cs="Arial" w:eastAsia="Arial" w:hAnsi="Arial"/>
          <w:b/>
          <w:bCs/>
          <w:sz w:val="24"/>
          <w:szCs w:val="24"/>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Key Lessons — Complete Declarative Statements</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The last human freedom is the freedom to choose one’s attitude toward any given set of circumstances.</w:t>
            </w:r>
          </w:p>
        </w:tc>
      </w:tr>
      <w:tr>
        <w:tc>
          <w:tcPr>
            <w:tcW w:type="dxa" w:w="93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2.  Meaning is found not only in achievement, but in suffering and in relationships — it cannot be pursued directly, only discovered.</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Identity rooted in values rather than role survives the removal of any position, title, or rank.</w:t>
            </w:r>
          </w:p>
        </w:tc>
      </w:tr>
      <w:tr>
        <w:tc>
          <w:tcPr>
            <w:tcW w:type="dxa" w:w="93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4.  The question life asks of us changes over time, and wisdom lies in listening carefully enough to hear what is being asked now.</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A leader who has faced genuine suffering without losing their moral compass carries an authority that no credential can replicate.</w:t>
            </w:r>
          </w:p>
        </w:tc>
      </w:tr>
    </w:tbl>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Opening Hook</w:t>
      </w:r>
    </w:p>
    <w:p>
      <w:pPr>
        <w:spacing w:after="160" w:before="0"/>
      </w:pPr>
      <w:r>
        <w:rPr>
          <w:rFonts w:ascii="Arial" w:cs="Arial" w:eastAsia="Arial" w:hAnsi="Arial"/>
          <w:b w:val="false"/>
          <w:bCs w:val="false"/>
          <w:i w:val="false"/>
          <w:iCs w:val="false"/>
          <w:sz w:val="22"/>
          <w:szCs w:val="22"/>
        </w:rPr>
        <w:t xml:space="preserve">Somewhere between the decision to leave and the day it actually happens, the questions change. It is no longer about process — the paperwork, the timelines, the next assignment. It is about something harder to name: who you are when the structure that has organized your life for twenty or thirty years is no longer there. The uniform comes off, and the question underneath has been waiting.</w:t>
      </w:r>
    </w:p>
    <w:p>
      <w:pPr>
        <w:spacing w:after="160" w:before="0"/>
      </w:pPr>
      <w:r>
        <w:rPr>
          <w:rFonts w:ascii="Arial" w:cs="Arial" w:eastAsia="Arial" w:hAnsi="Arial"/>
          <w:b w:val="false"/>
          <w:bCs w:val="false"/>
          <w:i w:val="false"/>
          <w:iCs w:val="false"/>
          <w:sz w:val="22"/>
          <w:szCs w:val="22"/>
        </w:rPr>
        <w:t xml:space="preserve">Viktor Frankl wrote this book under conditions that make any career transition look like a pleasant inconvenience. What he found in the concentration camps of Auschwitz and Dachau was not a formula for survival, but a truth about the human spirit: that meaning can be chosen even when everything else has been taken. That insight, arrived at in extremity, belongs to you now — not because your situation resembles his, but because the question he answered is precisely the one you are being asked.</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Book Analysis</w:t>
      </w:r>
    </w:p>
    <w:p>
      <w:pPr>
        <w:spacing w:after="160" w:before="0"/>
      </w:pPr>
      <w:r>
        <w:rPr>
          <w:rFonts w:ascii="Arial" w:cs="Arial" w:eastAsia="Arial" w:hAnsi="Arial"/>
          <w:b w:val="false"/>
          <w:bCs w:val="false"/>
          <w:i/>
          <w:iCs/>
          <w:sz w:val="22"/>
          <w:szCs w:val="22"/>
        </w:rPr>
        <w:t xml:space="preserve">What Viktor Frankl taught — and what the evidence behind it requires us to take seriously.</w:t>
      </w:r>
    </w:p>
    <w:p>
      <w:pPr>
        <w:spacing w:after="80" w:before="80"/>
      </w:pPr>
    </w:p>
    <w:p>
      <w:pPr>
        <w:pStyle w:val="Heading2"/>
        <w:spacing w:after="120" w:before="240"/>
      </w:pPr>
      <w:r>
        <w:rPr>
          <w:rFonts w:ascii="Arial" w:cs="Arial" w:eastAsia="Arial" w:hAnsi="Arial"/>
          <w:b/>
          <w:bCs/>
          <w:sz w:val="24"/>
          <w:szCs w:val="24"/>
        </w:rPr>
        <w:t xml:space="preserve">The Central Argument</w:t>
      </w:r>
    </w:p>
    <w:p>
      <w:pPr>
        <w:spacing w:after="160" w:before="0"/>
      </w:pPr>
      <w:r>
        <w:rPr>
          <w:rFonts w:ascii="Arial" w:cs="Arial" w:eastAsia="Arial" w:hAnsi="Arial"/>
          <w:b w:val="false"/>
          <w:bCs w:val="false"/>
          <w:i w:val="false"/>
          <w:iCs w:val="false"/>
          <w:sz w:val="22"/>
          <w:szCs w:val="22"/>
        </w:rPr>
        <w:t xml:space="preserve">Frankl’s argument rests on a single, difficult claim: that the primary human drive is not pleasure, power, or security, but the search for meaning. He developed this thesis — which he called logotherapy, a meaning-centered approach to psychotherapy — before the war. What the camps did was test it under conditions that no controlled experiment could replicate. The result was not a comfortable confirmation. It was an earned conviction.</w:t>
      </w:r>
    </w:p>
    <w:p>
      <w:pPr>
        <w:spacing w:after="160" w:before="0"/>
      </w:pPr>
      <w:r>
        <w:rPr>
          <w:rFonts w:ascii="Arial" w:cs="Arial" w:eastAsia="Arial" w:hAnsi="Arial"/>
          <w:b w:val="false"/>
          <w:bCs w:val="false"/>
          <w:i w:val="false"/>
          <w:iCs w:val="false"/>
          <w:sz w:val="22"/>
          <w:szCs w:val="22"/>
        </w:rPr>
        <w:t xml:space="preserve">The book proceeds in two parts. The first is a psychological memoir — a careful, unsentimental account of life in the camps, organized not around horror for its own sake but around what Frankl observed about the conditions under which people maintained their humanity and the conditions under which they did not. The inmates who survived psychologically — not physically, which depended largely on chance — tended to be those who could locate a reason to endure: a person to return to, a work to complete, a suffering to accept with dignity. Those whose inner life collapsed often died before their bodies had reason to.</w:t>
      </w:r>
    </w:p>
    <w:p>
      <w:pPr>
        <w:spacing w:after="160" w:before="0"/>
      </w:pPr>
      <w:r>
        <w:rPr>
          <w:rFonts w:ascii="Arial" w:cs="Arial" w:eastAsia="Arial" w:hAnsi="Arial"/>
          <w:b w:val="false"/>
          <w:bCs w:val="false"/>
          <w:i w:val="false"/>
          <w:iCs w:val="false"/>
          <w:sz w:val="22"/>
          <w:szCs w:val="22"/>
        </w:rPr>
        <w:t xml:space="preserve">The second part introduces logotherapy in more systematic form. Here Frankl argues that meaning is available to human beings in three distinct ways: through what we give to the world in the form of deeds and creation, through what we receive from it in the form of experience and love, and — the most radical of the three — through the attitude we choose toward suffering that cannot be avoided. This third avenue is the one most relevant to anyone facing a transition they did not entirely choose.</w:t>
      </w:r>
    </w:p>
    <w:p>
      <w:pPr>
        <w:spacing w:after="80" w:before="80"/>
      </w:pPr>
    </w:p>
    <w:p>
      <w:pPr>
        <w:pStyle w:val="Heading2"/>
        <w:spacing w:after="120" w:before="240"/>
      </w:pPr>
      <w:r>
        <w:rPr>
          <w:rFonts w:ascii="Arial" w:cs="Arial" w:eastAsia="Arial" w:hAnsi="Arial"/>
          <w:b/>
          <w:bCs/>
          <w:sz w:val="24"/>
          <w:szCs w:val="24"/>
        </w:rPr>
        <w:t xml:space="preserve">Key Frameworks and Ideas</w:t>
      </w:r>
    </w:p>
    <w:p>
      <w:pPr>
        <w:spacing w:after="160" w:before="0"/>
      </w:pPr>
      <w:r>
        <w:rPr>
          <w:rFonts w:ascii="Arial" w:cs="Arial" w:eastAsia="Arial" w:hAnsi="Arial"/>
          <w:b w:val="false"/>
          <w:bCs w:val="false"/>
          <w:i w:val="false"/>
          <w:iCs w:val="false"/>
          <w:sz w:val="22"/>
          <w:szCs w:val="22"/>
        </w:rPr>
        <w:t xml:space="preserve">The concept that carries the most weight is what Frankl calls the last human freedom — the freedom to choose one’s response to any given situation. This is not optimism. It is not the suggestion that attitude determines outcome. It is the more demanding claim that the one thing circumstance cannot take is the orientation of the human spirit toward what is happening. In the camps, Frankl watched this play out concretely: the prisoner who shared his last piece of bread was demonstrating a freedom that his captors had failed to extinguish.</w:t>
      </w:r>
    </w:p>
    <w:p>
      <w:pPr>
        <w:spacing w:after="160" w:before="0"/>
      </w:pPr>
      <w:r>
        <w:rPr>
          <w:rFonts w:ascii="Arial" w:cs="Arial" w:eastAsia="Arial" w:hAnsi="Arial"/>
          <w:b w:val="false"/>
          <w:bCs w:val="false"/>
          <w:i w:val="false"/>
          <w:iCs w:val="false"/>
          <w:sz w:val="22"/>
          <w:szCs w:val="22"/>
        </w:rPr>
        <w:t xml:space="preserve">A second framework — the existential vacuum — describes the condition of people who have lost their sense of purpose without finding a replacement. Frankl identified this as a widespread feature of modern life, distinct from the dramatic suffering of the camps but recognizable by its particular symptom: boredom shading into despair. The leader who has defined themselves entirely by their role, their rank, or their institutional belonging is unusually vulnerable to this vacuum when those things are removed.</w:t>
      </w:r>
    </w:p>
    <w:p>
      <w:pPr>
        <w:spacing w:after="160" w:before="0"/>
      </w:pPr>
      <w:r>
        <w:rPr>
          <w:rFonts w:ascii="Arial" w:cs="Arial" w:eastAsia="Arial" w:hAnsi="Arial"/>
          <w:b w:val="false"/>
          <w:bCs w:val="false"/>
          <w:i w:val="false"/>
          <w:iCs w:val="false"/>
          <w:sz w:val="22"/>
          <w:szCs w:val="22"/>
        </w:rPr>
        <w:t xml:space="preserve">A third idea — one that does not get named as often as the others — is Frankl’s observation about the questions life asks. He argues that meaning is not something we find by searching for it directly; it emerges as the by-product of living in response to what the situation demands of us. The question is not what you want from life, but what life is asking of you, right now, given everything you carry. For a transitioning leader who has spent decades responding to institutional demands, the shift to answering that question from the inside out is among the most significant adjustments the transition requires.</w:t>
      </w:r>
    </w:p>
    <w:p>
      <w:pPr>
        <w:spacing w:after="80" w:before="80"/>
      </w:pPr>
    </w:p>
    <w:p>
      <w:pPr>
        <w:spacing w:after="160" w:before="0"/>
      </w:pPr>
      <w:r>
        <w:rPr>
          <w:rFonts w:ascii="Arial" w:cs="Arial" w:eastAsia="Arial" w:hAnsi="Arial"/>
          <w:b w:val="false"/>
          <w:bCs w:val="false"/>
          <w:i w:val="false"/>
          <w:iCs w:val="false"/>
          <w:sz w:val="22"/>
          <w:szCs w:val="22"/>
        </w:rPr>
        <w:t xml:space="preserve">His methodology is worth naming honestly: the book is a philosophical argument written through the lens of extreme experience. It is not a controlled study, and Frankl does not pretend otherwise. The evidence is observational, conducted under conditions of total distress. Some readers find the second part — the clinical presentation of logotherapy — drier than the memoir. That is a fair assessment. The argument is ultimately more philosophical than empirical. What it offers is not proof, but a framework of hard-earned seriousness for understanding what makes human beings resilient.</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Leadership Transition Commentary</w:t>
      </w:r>
    </w:p>
    <w:p>
      <w:pPr>
        <w:spacing w:after="160" w:before="0"/>
      </w:pPr>
      <w:r>
        <w:rPr>
          <w:rFonts w:ascii="Arial" w:cs="Arial" w:eastAsia="Arial" w:hAnsi="Arial"/>
          <w:b w:val="false"/>
          <w:bCs w:val="false"/>
          <w:i/>
          <w:iCs/>
          <w:sz w:val="22"/>
          <w:szCs w:val="22"/>
        </w:rPr>
        <w:t xml:space="preserve">Why this matters specifically for military leaders — and what it asks of you.</w:t>
      </w:r>
    </w:p>
    <w:p>
      <w:pPr>
        <w:spacing w:after="80" w:before="80"/>
      </w:pPr>
    </w:p>
    <w:p>
      <w:pPr>
        <w:spacing w:after="160" w:before="0"/>
      </w:pPr>
      <w:r>
        <w:rPr>
          <w:rFonts w:ascii="Arial" w:cs="Arial" w:eastAsia="Arial" w:hAnsi="Arial"/>
          <w:b w:val="false"/>
          <w:bCs w:val="false"/>
          <w:i w:val="false"/>
          <w:iCs w:val="false"/>
          <w:sz w:val="22"/>
          <w:szCs w:val="22"/>
        </w:rPr>
        <w:t xml:space="preserve">Military transition is not, at its core, a career problem. It is an identity problem. The career problem — finding a job, translating skills, building a network — is real and requires real attention. But underneath it is a more fundamental disruption: the loss of a self that was built inside a particular institution, shaped by its values, structured by its hierarchy, and affirmed daily by its rituals and demands. When you leave, that self doesn’t transfer cleanly. Frankl’s central contribution is that he names this experience with precision and refuses to minimize it.</w:t>
      </w:r>
    </w:p>
    <w:p>
      <w:pPr>
        <w:spacing w:after="160" w:before="0"/>
      </w:pPr>
      <w:r>
        <w:rPr>
          <w:rFonts w:ascii="Arial" w:cs="Arial" w:eastAsia="Arial" w:hAnsi="Arial"/>
          <w:b w:val="false"/>
          <w:bCs w:val="false"/>
          <w:i w:val="false"/>
          <w:iCs w:val="false"/>
          <w:sz w:val="22"/>
          <w:szCs w:val="22"/>
        </w:rPr>
        <w:t xml:space="preserve">Most transition resources are built around the assumption that the problem is practical. Frankl’s book is built around the assumption that the problem is existential — and that until you address the existential layer, the practical solutions will feel hollow. For military leaders specifically, this lands with particular force. You have spent years, possibly decades, in a community where purpose was institutional. The mission was assigned. The belonging was structural. The values were codified. That is not a weakness; it is one of the genuine gifts of military service. But it means that when the institution is gone, the question of who you are and what you are for has to be answered from scratch — and the shock of that is real even for people who thought they were prepared.</w:t>
      </w:r>
    </w:p>
    <w:p>
      <w:pPr>
        <w:spacing w:after="160" w:before="0"/>
      </w:pPr>
      <w:r>
        <w:rPr>
          <w:rFonts w:ascii="Arial" w:cs="Arial" w:eastAsia="Arial" w:hAnsi="Arial"/>
          <w:b w:val="false"/>
          <w:bCs w:val="false"/>
          <w:i w:val="false"/>
          <w:iCs w:val="false"/>
          <w:sz w:val="22"/>
          <w:szCs w:val="22"/>
        </w:rPr>
        <w:t xml:space="preserve">Frankl argues that meaning cannot be given — it can only be found. This distinction matters enormously for the transition reader. Well-meaning advisors, family members, and transition programs will offer you purposes: a second career, a community role, a nonprofit cause. These are not wrong. But they are not the same as the meaning you have to find for yourself by asking honestly what the next chapter is actually for. That question has an answer. Frankl’s life is evidence that it has an answer even under conditions of complete deprivation. But finding it requires a willingness to sit with the uncertainty rather than fill it immediately.</w:t>
      </w:r>
    </w:p>
    <w:p>
      <w:pPr>
        <w:spacing w:after="160" w:before="0"/>
      </w:pPr>
      <w:r>
        <w:rPr>
          <w:rFonts w:ascii="Arial" w:cs="Arial" w:eastAsia="Arial" w:hAnsi="Arial"/>
          <w:b w:val="false"/>
          <w:bCs w:val="false"/>
          <w:i w:val="false"/>
          <w:iCs w:val="false"/>
          <w:sz w:val="22"/>
          <w:szCs w:val="22"/>
        </w:rPr>
        <w:t xml:space="preserve">There is also a leadership dimension worth examining carefully. You likely led people through difficulty — deployments, operations, loss. The authority you carried in those moments was not primarily rank. It was something harder to name: a calm that came from having thought through what you stood for. Frankl’s framework suggests that this authority is portable. It survives the removal of rank precisely because it was never rooted there. The leader who has faced genuine hardship and maintained their moral bearings carries something that civilian organizations — which often lack any framework for understanding adversity — genuinely need. The challenge is recognizing that the transition is not a diminishment of that authority but a relocation of it.</w:t>
      </w:r>
    </w:p>
    <w:p>
      <w:pPr>
        <w:spacing w:after="160" w:before="0"/>
      </w:pPr>
      <w:r>
        <w:rPr>
          <w:rFonts w:ascii="Arial" w:cs="Arial" w:eastAsia="Arial" w:hAnsi="Arial"/>
          <w:b w:val="false"/>
          <w:bCs w:val="false"/>
          <w:i w:val="false"/>
          <w:iCs w:val="false"/>
          <w:sz w:val="22"/>
          <w:szCs w:val="22"/>
        </w:rPr>
        <w:t xml:space="preserve">One honest limitation worth naming: Frankl’s framework can be misread as an injunction to find meaning in suffering — to treat difficulty as inherently useful. That is not what he argues. His claim is more precise: that when suffering cannot be avoided, the attitude toward it is a choice that carries moral weight. For transitioning leaders who are grieving — and many are, even if they do not use that word — this distinction matters. The book does not tell you that the loss of the life you built should feel purposeful. It tells you that your response to that loss is still yours to shape.</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Practical Applications</w:t>
      </w:r>
    </w:p>
    <w:p>
      <w:pPr>
        <w:spacing w:after="160" w:before="0"/>
      </w:pPr>
      <w:r>
        <w:rPr>
          <w:rFonts w:ascii="Arial" w:cs="Arial" w:eastAsia="Arial" w:hAnsi="Arial"/>
          <w:b w:val="false"/>
          <w:bCs w:val="false"/>
          <w:i/>
          <w:iCs/>
          <w:sz w:val="22"/>
          <w:szCs w:val="22"/>
        </w:rPr>
        <w:t xml:space="preserve">Specific ways to translate Frankl’s framework into action — during transition and after.</w:t>
      </w:r>
    </w:p>
    <w:p>
      <w:pPr>
        <w:spacing w:after="80" w:before="80"/>
      </w:pP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Separate your identity from your role before you leave. Take one concrete step toward a values-based self-description: write a paragraph that describes who you are without any reference to rank, unit, or position. If it’s harder than expected, that difficulty is diagnostic — and it’s better to discover it while the institutional safety net is still in place.</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Apply the last-freedom principle when you encounter conditions you cannot change. When the transition timeline slips, the job offer falls through, or the civilian environment proves more chaotic than expected, the default is frustration. Frankl’s discipline is to ask: given that this is the situation, what is my response? That question does not eliminate the frustration — it redirects the energy.</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Audit the three avenues of meaning periodically. Frankl identifies creation, experience, and attitude as the sources of meaning. During transition, when the first avenue (productive output) may feel diminished, deliberately develop the second: invest in relationships, engage with ideas, pursue experiences that remind you the world outside the institution is rich. This is not a distraction from the transition — it is part of the work.</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When leading others through difficulty, name what is hard before you prescribe what is useful. Frankl’s memoir works because he does not look away from the reality of the camps. Leaders who have absorbed this lesson are more credible in civilian environments precisely because they do not reach for optimism before acknowledging difficulty. In your next organization, that capacity is rare and valuable.</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After engaging with Frankl’s memoir section, identify the one observation about survival that landed with the most force for you — not the one that seemed most philosophically interesting, but the one that felt most personally true. Carry that observation for a week before moving to his framework. The philosophy earns its authority through the experience that precedes it; the reader who sits with the experience first will find the framework more demanding and more useful.</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Reflection Questions</w:t>
      </w:r>
    </w:p>
    <w:p>
      <w:pPr>
        <w:spacing w:after="160" w:before="0"/>
      </w:pPr>
      <w:r>
        <w:rPr>
          <w:rFonts w:ascii="Arial" w:cs="Arial" w:eastAsia="Arial" w:hAnsi="Arial"/>
          <w:b w:val="false"/>
          <w:bCs w:val="false"/>
          <w:i/>
          <w:iCs/>
          <w:sz w:val="22"/>
          <w:szCs w:val="22"/>
        </w:rPr>
        <w:t xml:space="preserve">Four questions for honest self-examination. None have easy answers. All are worth sitting with.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20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Question</w:t>
            </w:r>
          </w:p>
        </w:tc>
      </w:tr>
      <w:tr>
        <w:tc>
          <w:tcPr>
            <w:tcW w:type="dxa" w:w="21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&amp; Self-Awareness</w:t>
            </w:r>
          </w:p>
        </w:tc>
        <w:tc>
          <w:tcPr>
            <w:tcW w:type="dxa" w:w="72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When you describe who you are to someone who has no knowledge of your military career, what do you say? Not what you accomplished — who you are. If the answer comes less easily than you expected, what does that reveal about where your identity has been rooted?</w:t>
            </w:r>
          </w:p>
        </w:tc>
      </w:tr>
      <w:tr>
        <w:tc>
          <w:tcPr>
            <w:tcW w:type="dxa" w:w="21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Transition Experience</w:t>
            </w:r>
          </w:p>
        </w:tc>
        <w:tc>
          <w:tcPr>
            <w:tcW w:type="dxa" w:w="72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Is there something about the transition you are treating as a problem to be solved when it may actually be a question to be lived with for a while? What would change about your approach if you gave yourself permission to sit with the uncertainty rather than resolve it immediately?</w:t>
            </w:r>
          </w:p>
        </w:tc>
      </w:tr>
      <w:tr>
        <w:tc>
          <w:tcPr>
            <w:tcW w:type="dxa" w:w="21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Purpose &amp; Legacy</w:t>
            </w:r>
          </w:p>
        </w:tc>
        <w:tc>
          <w:tcPr>
            <w:tcW w:type="dxa" w:w="72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Frankl argues that meaning cannot be directly pursued — it emerges as a by-product of living in service of something larger than oneself. What is the thing larger than yourself that you are currently serving, or genuinely seeking to serve in the next chapter?</w:t>
            </w:r>
          </w:p>
        </w:tc>
      </w:tr>
      <w:tr>
        <w:tc>
          <w:tcPr>
            <w:tcW w:type="dxa" w:w="21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Book-Specific Application</w:t>
            </w:r>
          </w:p>
        </w:tc>
        <w:tc>
          <w:tcPr>
            <w:tcW w:type="dxa" w:w="72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Think of a specific difficulty from your service — a deployment, a loss, a failure, a hard command. Using Frankl’s framework, what meaning, if any, have you made of it? And is there a meaning that remains unmade — something the experience offered that you have not yet fully accepted?</w:t>
            </w:r>
          </w:p>
        </w:tc>
      </w:tr>
    </w:tbl>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Cross-Book Wisdom Connections</w:t>
      </w:r>
    </w:p>
    <w:p>
      <w:pPr>
        <w:spacing w:after="160" w:before="0"/>
      </w:pPr>
      <w:r>
        <w:rPr>
          <w:rFonts w:ascii="Arial" w:cs="Arial" w:eastAsia="Arial" w:hAnsi="Arial"/>
          <w:b w:val="false"/>
          <w:bCs w:val="false"/>
          <w:i/>
          <w:iCs/>
          <w:sz w:val="22"/>
          <w:szCs w:val="22"/>
        </w:rPr>
        <w:t xml:space="preserve">Man’s Search for Meaning sits at the intersection of meaning, identity, resilience, and character — four of the library’s most densely connected wisdom themes. What makes its position unusual is that Frankl approaches all four not as abstractions but as survival data, observed under conditions that stripped away every form of comfort and pretense. The connections that follow trace how that earned seriousness echoes across traditions and centuries.</w:t>
      </w:r>
    </w:p>
    <w:p>
      <w:pPr>
        <w:spacing w:after="80" w:before="80"/>
      </w:pPr>
    </w:p>
    <w:p>
      <w:pPr>
        <w:pStyle w:val="Heading2"/>
        <w:spacing w:after="120" w:before="240"/>
      </w:pPr>
      <w:r>
        <w:rPr>
          <w:rFonts w:ascii="Arial" w:cs="Arial" w:eastAsia="Arial" w:hAnsi="Arial"/>
          <w:b/>
          <w:bCs/>
          <w:sz w:val="24"/>
          <w:szCs w:val="24"/>
        </w:rPr>
        <w:t xml:space="preserve">Connection 1 — Meditations by Marcus Aurelius  [Historical Echo · Meaning + Character]</w:t>
      </w:r>
    </w:p>
    <w:p>
      <w:pPr>
        <w:spacing w:after="160" w:before="0"/>
      </w:pPr>
      <w:r>
        <w:rPr>
          <w:rFonts w:ascii="Arial" w:cs="Arial" w:eastAsia="Arial" w:hAnsi="Arial"/>
          <w:b w:val="false"/>
          <w:bCs w:val="false"/>
          <w:i w:val="false"/>
          <w:iCs w:val="false"/>
          <w:sz w:val="22"/>
          <w:szCs w:val="22"/>
        </w:rPr>
        <w:t xml:space="preserve">Aurelius and Frankl never encountered each other, separated as they were by nineteen centuries and entirely different circumstances of adversity — one writing from the most powerful position in the Roman world, the other from its opposite extreme. Yet both arrive at the same essential argument: that the interior life is the only domain of genuine freedom, and that the quality of a person’s character is determined not by the conditions they face but by the response they choose. Aurelius calls this the discipline of the will; Frankl calls it the last human freedom. The specific language differs; the underlying claim is identical.</w:t>
      </w:r>
    </w:p>
    <w:p>
      <w:pPr>
        <w:spacing w:after="160" w:before="0"/>
      </w:pPr>
      <w:r>
        <w:rPr>
          <w:rFonts w:ascii="Arial" w:cs="Arial" w:eastAsia="Arial" w:hAnsi="Arial"/>
          <w:b w:val="false"/>
          <w:bCs w:val="false"/>
          <w:i w:val="false"/>
          <w:iCs w:val="false"/>
          <w:sz w:val="22"/>
          <w:szCs w:val="22"/>
        </w:rPr>
        <w:t xml:space="preserve">What the Historical Echo reveals here is not merely that two thinkers agreed. It is that this insight has been tested across the widest possible range of human experience — from imperial power to industrial slavery — and survived. For the transition reader, this convergence carries a particular kind of authority. The argument is not the product of comfort or theory. It is what two very different people found to be true when everything else was stripped away.</w:t>
      </w:r>
    </w:p>
    <w:p>
      <w:pPr>
        <w:spacing w:after="80" w:before="80"/>
      </w:pPr>
    </w:p>
    <w:p>
      <w:pPr>
        <w:pStyle w:val="Heading2"/>
        <w:spacing w:after="120" w:before="240"/>
      </w:pPr>
      <w:r>
        <w:rPr>
          <w:rFonts w:ascii="Arial" w:cs="Arial" w:eastAsia="Arial" w:hAnsi="Arial"/>
          <w:b/>
          <w:bCs/>
          <w:sz w:val="24"/>
          <w:szCs w:val="24"/>
        </w:rPr>
        <w:t xml:space="preserve">Connection 2 — Ego Is the Enemy by Ryan Holiday  [Extension · Identity + Resilience]</w:t>
      </w:r>
    </w:p>
    <w:p>
      <w:pPr>
        <w:spacing w:after="160" w:before="0"/>
      </w:pPr>
      <w:r>
        <w:rPr>
          <w:rFonts w:ascii="Arial" w:cs="Arial" w:eastAsia="Arial" w:hAnsi="Arial"/>
          <w:b w:val="false"/>
          <w:bCs w:val="false"/>
          <w:i w:val="false"/>
          <w:iCs w:val="false"/>
          <w:sz w:val="22"/>
          <w:szCs w:val="22"/>
        </w:rPr>
        <w:t xml:space="preserve">Holiday’s argument is, in a sense, the operational complement to Frankl’s philosophical foundation. Where Frankl identifies the internal freedom available to a person under extreme external constraint, Holiday examines the specific internal enemy that prevents most people from accessing it: the ego that confuses rank, title, and institutional standing with identity. Holiday’s insight is that the ego’s definition of self — rooted in position, recognition, and the approval of others — is precisely the self that cannot survive the removal of those props.</w:t>
      </w:r>
    </w:p>
    <w:p>
      <w:pPr>
        <w:spacing w:after="160" w:before="0"/>
      </w:pPr>
      <w:r>
        <w:rPr>
          <w:rFonts w:ascii="Arial" w:cs="Arial" w:eastAsia="Arial" w:hAnsi="Arial"/>
          <w:b w:val="false"/>
          <w:bCs w:val="false"/>
          <w:i w:val="false"/>
          <w:iCs w:val="false"/>
          <w:sz w:val="22"/>
          <w:szCs w:val="22"/>
        </w:rPr>
        <w:t xml:space="preserve">The extension is exact: Frankl shows what becomes possible when the ego’s scaffolding is removed by force; Holiday shows how to dismantle it voluntarily before circumstances do it for you. For military leaders approaching transition, this pairing is the most practically urgent in the library. Read together, Frankl provides the why — a life built on meaning survives what a life built on rank cannot — and Holiday provides a path toward it.</w:t>
      </w:r>
    </w:p>
    <w:p>
      <w:pPr>
        <w:spacing w:after="80" w:before="80"/>
      </w:pPr>
    </w:p>
    <w:p>
      <w:pPr>
        <w:pStyle w:val="Heading2"/>
        <w:spacing w:after="120" w:before="240"/>
      </w:pPr>
      <w:r>
        <w:rPr>
          <w:rFonts w:ascii="Arial" w:cs="Arial" w:eastAsia="Arial" w:hAnsi="Arial"/>
          <w:b/>
          <w:bCs/>
          <w:sz w:val="24"/>
          <w:szCs w:val="24"/>
        </w:rPr>
        <w:t xml:space="preserve">Connection 3 — The Analects of Confucius  [Tradition Bridge · Purpose + Character]</w:t>
      </w:r>
    </w:p>
    <w:p>
      <w:pPr>
        <w:spacing w:after="160" w:before="0"/>
      </w:pPr>
      <w:r>
        <w:rPr>
          <w:rFonts w:ascii="Arial" w:cs="Arial" w:eastAsia="Arial" w:hAnsi="Arial"/>
          <w:b w:val="false"/>
          <w:bCs w:val="false"/>
          <w:i w:val="false"/>
          <w:iCs w:val="false"/>
          <w:sz w:val="22"/>
          <w:szCs w:val="22"/>
        </w:rPr>
        <w:t xml:space="preserve">The convergence between Frankl and Confucius requires the largest intellectual leap in this entry — from a 20th-century Viennese psychiatrist to a classical Chinese philosopher who lived five centuries before the common era — but it reveals something the Western tradition alone cannot. Confucius argues that the cultivation of character is the fundamental human task, and that this cultivation is accomplished not through dramatic gestures but through the quality of daily practice: how one behaves toward others, how one serves relationships, how one meets the obligations of the role one holds.</w:t>
      </w:r>
    </w:p>
    <w:p>
      <w:pPr>
        <w:spacing w:after="160" w:before="0"/>
      </w:pPr>
      <w:r>
        <w:rPr>
          <w:rFonts w:ascii="Arial" w:cs="Arial" w:eastAsia="Arial" w:hAnsi="Arial"/>
          <w:b w:val="false"/>
          <w:bCs w:val="false"/>
          <w:i w:val="false"/>
          <w:iCs w:val="false"/>
          <w:sz w:val="22"/>
          <w:szCs w:val="22"/>
        </w:rPr>
        <w:t xml:space="preserve">Frankl’s meaning-centered framework and Confucius’s virtue-ethics share a common core: both locate the deepest source of human dignity in something that cannot be taken by external circumstances. Frankl calls it attitude; Confucius calls it ren — the human-heartedness that is expressed in how one treats others regardless of one’s position. The Tradition Bridge here is not a superficial similarity. It is the same answer to the same question, arrived at from different intellectual traditions across a gap of twenty-five hundred years.</w:t>
      </w:r>
    </w:p>
    <w:p>
      <w:pPr>
        <w:spacing w:after="80" w:before="80"/>
      </w:pPr>
    </w:p>
    <w:p>
      <w:pPr>
        <w:pStyle w:val="Heading2"/>
        <w:spacing w:after="120" w:before="240"/>
      </w:pPr>
      <w:r>
        <w:rPr>
          <w:rFonts w:ascii="Arial" w:cs="Arial" w:eastAsia="Arial" w:hAnsi="Arial"/>
          <w:b/>
          <w:bCs/>
          <w:sz w:val="24"/>
          <w:szCs w:val="24"/>
        </w:rPr>
        <w:t xml:space="preserve">Connection 4 — Leaders Eat Last by Simon Sinek  [Diagnostic Pair · Identity + Meaning]</w:t>
      </w:r>
    </w:p>
    <w:p>
      <w:pPr>
        <w:spacing w:after="160" w:before="0"/>
      </w:pPr>
      <w:r>
        <w:rPr>
          <w:rFonts w:ascii="Arial" w:cs="Arial" w:eastAsia="Arial" w:hAnsi="Arial"/>
          <w:b w:val="false"/>
          <w:bCs w:val="false"/>
          <w:i w:val="false"/>
          <w:iCs w:val="false"/>
          <w:sz w:val="22"/>
          <w:szCs w:val="22"/>
        </w:rPr>
        <w:t xml:space="preserve">Sinek’s book provides the organizational and biological vocabulary for something Frankl observed at the individual level: that belonging to a community of shared purpose is one of the most powerful sources of meaning available to human beings, and that its loss produces a crisis that most transition frameworks are not equipped to name. Sinek’s argument about the Circle of Safety — the biological basis for the trust and belonging that military units generate — is, in diagnostic terms, a clinical description of exactly what military leaders lose when they leave service.</w:t>
      </w:r>
    </w:p>
    <w:p>
      <w:pPr>
        <w:spacing w:after="160" w:before="0"/>
      </w:pPr>
      <w:r>
        <w:rPr>
          <w:rFonts w:ascii="Arial" w:cs="Arial" w:eastAsia="Arial" w:hAnsi="Arial"/>
          <w:b w:val="false"/>
          <w:bCs w:val="false"/>
          <w:i w:val="false"/>
          <w:iCs w:val="false"/>
          <w:sz w:val="22"/>
          <w:szCs w:val="22"/>
        </w:rPr>
        <w:t xml:space="preserve">The Diagnostic Pair relationship is precise: Frankl names the existential vacuum and argues for the human capacity to find meaning in its presence; Sinek names the specific institutional conditions that created the fullness before the vacuum existed. Together, they provide a more complete map of the transition experience than either book offers alone. The reader who has absorbed Frankl’s framework for individual meaning-making and Sinek’s framework for the communal dimension of belonging has a more honest account of what is actually at stake — and what the work of reconstruction actually involves.</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Closing Reflection</w:t>
      </w:r>
    </w:p>
    <w:p>
      <w:pPr>
        <w:spacing w:after="160" w:before="0"/>
      </w:pPr>
      <w:r>
        <w:rPr>
          <w:rFonts w:ascii="Arial" w:cs="Arial" w:eastAsia="Arial" w:hAnsi="Arial"/>
          <w:b w:val="false"/>
          <w:bCs w:val="false"/>
          <w:i w:val="false"/>
          <w:iCs w:val="false"/>
          <w:sz w:val="22"/>
          <w:szCs w:val="22"/>
        </w:rPr>
        <w:t xml:space="preserve">There is a moment that many transitioning leaders describe, often quietly, usually after the initial logistics have settled and the busyness that masked the harder questions has slowed. It is the moment when the question underneath becomes audible: not what will I do, but who am I now, and what is this next chapter actually for?</w:t>
      </w:r>
    </w:p>
    <w:p>
      <w:pPr>
        <w:spacing w:after="160" w:before="0"/>
      </w:pPr>
      <w:r>
        <w:rPr>
          <w:rFonts w:ascii="Arial" w:cs="Arial" w:eastAsia="Arial" w:hAnsi="Arial"/>
          <w:b w:val="false"/>
          <w:bCs w:val="false"/>
          <w:i w:val="false"/>
          <w:iCs w:val="false"/>
          <w:sz w:val="22"/>
          <w:szCs w:val="22"/>
        </w:rPr>
        <w:t xml:space="preserve">Frankl’s answer is that you already carry the equipment for that question. The years of carrying responsibility, of leading people through difficulty, of making decisions with incomplete information and real consequences — those did not produce someone with a credential that needs replacing. They produced someone with a particular kind of moral seriousness, a tested understanding of what holds when things fall apart. That is not transferable on a resumé. But it is real, and it is yours.</w:t>
      </w:r>
    </w:p>
    <w:p>
      <w:pPr>
        <w:spacing w:after="160" w:before="0"/>
      </w:pPr>
      <w:r>
        <w:rPr>
          <w:rFonts w:ascii="Arial" w:cs="Arial" w:eastAsia="Arial" w:hAnsi="Arial"/>
          <w:b w:val="false"/>
          <w:bCs w:val="false"/>
          <w:i w:val="false"/>
          <w:iCs w:val="false"/>
          <w:sz w:val="22"/>
          <w:szCs w:val="22"/>
        </w:rPr>
        <w:t xml:space="preserve">What this book asks of you is not to find meaning as though it were a destination, but to remain the kind of person who takes the question seriously — who keeps asking what the situation is asking of them, and who answers with honesty and care. That practice does not require a uniform. It does not require rank. It requires only the willingness to keep paying attention to what matters and responding accordingly. You have been doing that for a long time. The next chapter is simply the continuation of it.</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Related Books</w:t>
      </w:r>
    </w:p>
    <w:p>
      <w:pPr>
        <w:spacing w:after="160" w:before="0"/>
      </w:pPr>
      <w:r>
        <w:rPr>
          <w:rFonts w:ascii="Arial" w:cs="Arial" w:eastAsia="Arial" w:hAnsi="Arial"/>
          <w:b w:val="false"/>
          <w:bCs w:val="false"/>
          <w:i/>
          <w:iCs/>
          <w:sz w:val="22"/>
          <w:szCs w:val="22"/>
        </w:rPr>
        <w:t xml:space="preserve">These titles extend, deepen, or apply the ideas in this entry. Each connection is specific — not thematic proximity, but genuine intellectual continuation.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Book &amp; Author</w:t>
            </w:r>
          </w:p>
        </w:tc>
        <w:tc>
          <w:tcPr>
            <w:tcW w:type="dxa" w:w="57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Why the Connection Matters for This Reader</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Meditations  ·  Marcus Aurelius</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most direct historical echo in the library: Aurelius reaches the same conclusion about interior freedom from an entirely different century and set of circumstances, providing independent verification that Frankl’s insight is not personal or cultural but universal.</w:t>
            </w:r>
          </w:p>
        </w:tc>
      </w:tr>
      <w:tr>
        <w:tc>
          <w:tcPr>
            <w:tcW w:type="dxa" w:w="36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Ego Is the Enemy  ·  Ryan Holiday</w:t>
            </w:r>
          </w:p>
        </w:tc>
        <w:tc>
          <w:tcPr>
            <w:tcW w:type="dxa" w:w="57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The operational companion to this entry — where Frankl shows what identity rooted in meaning makes possible, Holiday shows specifically how to dismantle the ego-identity that will otherwise make transition unnecessarily painful.</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Leaders Eat Last  ·  Simon Sinek</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Provides the organizational and biological vocabulary for the belonging that military service creates and transition removes — the necessary companion for any leader trying to understand the full scope of what they are navigating.</w:t>
            </w:r>
          </w:p>
        </w:tc>
      </w:tr>
      <w:tr>
        <w:tc>
          <w:tcPr>
            <w:tcW w:type="dxa" w:w="36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Start With Why  ·  Simon Sinek</w:t>
            </w:r>
          </w:p>
        </w:tc>
        <w:tc>
          <w:tcPr>
            <w:tcW w:type="dxa" w:w="57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Moves Frankl’s existential question — what are you for? — into the practical domain of organizational and personal purpose, serving as the most accessible next step for readers ready to translate meaning into direction.</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Good to Great  ·  Jim Collins</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Provides the empirical complement to Frankl’s philosophical argument: Collins’s Level 5 leaders — who directed ambition toward the institution rather than themselves — are what character-over-credential identity looks like as measured organizational data.</w:t>
            </w:r>
          </w:p>
        </w:tc>
      </w:tr>
    </w:tbl>
    <w:p>
      <w:pPr>
        <w:spacing w:after="80" w:before="80"/>
      </w:pPr>
    </w:p>
    <w:p>
      <w:pPr>
        <w:pBdr>
          <w:bottom w:val="single" w:color="2E4A8E" w:sz="4" w:space="1"/>
        </w:pBdr>
        <w:spacing w:after="120" w:before="120"/>
      </w:pPr>
    </w:p>
    <w:p>
      <w:pPr>
        <w:spacing w:after="0" w:before="120"/>
        <w:jc w:val="center"/>
      </w:pPr>
      <w:r>
        <w:rPr>
          <w:rFonts w:ascii="Arial" w:cs="Arial" w:eastAsia="Arial" w:hAnsi="Arial"/>
          <w:i/>
          <w:iCs/>
          <w:color w:val="666666"/>
          <w:sz w:val="18"/>
          <w:szCs w:val="18"/>
        </w:rPr>
        <w:t xml:space="preserve">Search Keywords:  frankl  ·  meaning  ·  purpose  ·  identity  ·  resilience  ·  suffering  ·  logotherapy  ·  existential  ·  transition  ·  character</w:t>
      </w:r>
    </w:p>
    <w:p>
      <w:pPr>
        <w:spacing w:after="80" w:before="80"/>
      </w:pPr>
    </w:p>
    <w:p>
      <w:pPr>
        <w:spacing w:after="0" w:before="60"/>
        <w:jc w:val="center"/>
      </w:pPr>
      <w:r>
        <w:rPr>
          <w:rFonts w:ascii="Arial" w:cs="Arial" w:eastAsia="Arial" w:hAnsi="Arial"/>
          <w:color w:val="2E4A8E"/>
          <w:sz w:val="18"/>
          <w:szCs w:val="18"/>
        </w:rPr>
        <w:t xml:space="preserve">Leadership Through Transition  ·  Book Entry  ·  Version 2.0  ·  June 2025  ·  Gold Standard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2026-06-12T05:26:56.099Z</dcterms:created>
  <dcterms:modified xsi:type="dcterms:W3CDTF">2026-06-12T05:26:56.100Z</dcterms:modified>
</cp:coreProperties>
</file>

<file path=docProps/custom.xml><?xml version="1.0" encoding="utf-8"?>
<Properties xmlns="http://schemas.openxmlformats.org/officeDocument/2006/custom-properties" xmlns:vt="http://schemas.openxmlformats.org/officeDocument/2006/docPropsVTypes"/>
</file>