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777777"/>
          <w:sz w:val="18"/>
          <w:szCs w:val="18"/>
        </w:rPr>
        <w:t xml:space="preserve">LEADERSHIP THROUGH TRANSITION  ·  BOOK ENTRY</w:t>
      </w:r>
    </w:p>
    <w:p>
      <w:pPr>
        <w:spacing w:after="60" w:before="120"/>
      </w:pPr>
      <w:r>
        <w:rPr>
          <w:rFonts w:ascii="Arial" w:cs="Arial" w:eastAsia="Arial" w:hAnsi="Arial"/>
          <w:b/>
          <w:bCs/>
          <w:color w:val="1F3864"/>
          <w:sz w:val="40"/>
          <w:szCs w:val="40"/>
        </w:rPr>
        <w:t xml:space="preserve">Leadership and Self-Deception</w:t>
      </w:r>
    </w:p>
    <w:p>
      <w:pPr>
        <w:spacing w:after="100" w:before="0"/>
      </w:pPr>
      <w:r>
        <w:rPr>
          <w:rFonts w:ascii="Arial" w:cs="Arial" w:eastAsia="Arial" w:hAnsi="Arial"/>
          <w:color w:val="555555"/>
          <w:sz w:val="22"/>
          <w:szCs w:val="22"/>
        </w:rPr>
        <w:t xml:space="preserve">The Arbinger Institute  ·  2000</w:t>
      </w:r>
    </w:p>
    <w:p>
      <w:pPr>
        <w:pBdr>
          <w:left w:val="single" w:color="1F3864" w:sz="12" w:space="8"/>
        </w:pBdr>
        <w:spacing w:after="240" w:before="0"/>
        <w:ind w:left="240"/>
      </w:pPr>
      <w:r>
        <w:rPr>
          <w:rFonts w:ascii="Arial" w:cs="Arial" w:eastAsia="Arial" w:hAnsi="Arial"/>
          <w:i/>
          <w:iCs/>
          <w:color w:val="333333"/>
          <w:sz w:val="20"/>
          <w:szCs w:val="20"/>
        </w:rPr>
        <w:t xml:space="preserve">The Arbinger Institute argues that most leadership failure originates not in poor technique but in self-deception — the condition of being ‘in the box,’ where leaders systematically distort how they see others and themselves in order to protect a self-justifying narrative.</w:t>
      </w:r>
    </w:p>
    <w:p>
      <w:pPr>
        <w:pStyle w:val="Heading1"/>
        <w:spacing w:after="120" w:before="360"/>
      </w:pPr>
      <w:r>
        <w:rPr>
          <w:rFonts w:ascii="Arial" w:cs="Arial" w:eastAsia="Arial" w:hAnsi="Arial"/>
          <w:b/>
          <w:bCs/>
          <w:color w:val="1F3864"/>
          <w:sz w:val="28"/>
          <w:szCs w:val="28"/>
        </w:rPr>
        <w:t xml:space="preserve">Entry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Library Tier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Core</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Canon 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Foundational Canon</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Node Tier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Standard Node — 4 Wisdom Themes</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Categories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Leadership  ·  Psychology  ·  Personal Development</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Taxonomy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Leadership Themes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Self-Awareness  ·  Accountability  ·  Trust  ·  Character  ·  Emotional Intelligence  ·  Humility</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Transition Themes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Identity  ·  Personal Growth  ·  Reinvention  ·  Uncertainty</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Reading Pathways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Identity Beyond Rank  ·  Leadership Foundations  ·  Personal Growth &amp; Reflection  ·  Finding Purpose After Service</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Cross-Book Wisdom Themes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Identity  ·  Accountability  ·  Character  ·  Trust</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Key Lessons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1.</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Self-deception is not ignorance — it is the active distortion of perception in service of a self-justifying narrative, and it operates most powerfully in leaders who are otherwise intelligent and accomplished.</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2.</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Being ‘in the box’ means seeing other people not as full human beings with their own legitimate needs and perspectives, but as objects to be managed, obstacles to be overcome, or vehicles for one’s own agenda.</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3.</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Leadership technique applied from inside the box produces compliance at best and resistance at worst; the same techniques applied from outside the box produce genuine cooperation because the relational foundation has changed.</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4.</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Self-betrayal — the act of ignoring what one knows to be right in a given moment — is the mechanism through which leaders enter the box; over time, repeated self-betrayal hardens into a fixed orientation toward others.</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5.</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Getting out of the box cannot be accomplished through technique or willpower alone; it requires a genuine shift in how one sees others, which in turn requires honesty about how one has been seeing them.</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Opening Hook</w:t>
      </w:r>
    </w:p>
    <w:p>
      <w:pPr>
        <w:spacing w:after="120" w:before="80"/>
      </w:pPr>
      <w:r>
        <w:rPr>
          <w:rFonts w:ascii="Arial" w:cs="Arial" w:eastAsia="Arial" w:hAnsi="Arial"/>
          <w:sz w:val="20"/>
          <w:szCs w:val="20"/>
        </w:rPr>
        <w:t xml:space="preserve">The leadership failures that are hardest to examine are not the ones that came from bad decisions or poor judgment in the fog of complex circumstances. Those are understandable. The ones that are harder to look at are the ones that came from not seeing clearly — from having a version of events, of other people, of yourself, that felt entirely accurate at the time and turned out to be something you had constructed to protect a narrative you needed to believe.</w:t>
      </w:r>
    </w:p>
    <w:p>
      <w:pPr>
        <w:spacing w:after="120" w:before="80"/>
      </w:pPr>
      <w:r>
        <w:rPr>
          <w:rFonts w:ascii="Arial" w:cs="Arial" w:eastAsia="Arial" w:hAnsi="Arial"/>
          <w:sz w:val="20"/>
          <w:szCs w:val="20"/>
        </w:rPr>
        <w:t xml:space="preserve">Most leaders have had at least one relationship — a subordinate, a peer, a superior — where the frustration was genuine, the assessment felt fair, and the outcome was worse than it needed to be. The Arbinger Institute’s book asks a question that most leadership frameworks do not ask: not what you did wrong, but whether you were seeing accurately in the first place. The answer, more often than leaders expect, is that you were not. And the mechanism that prevented accurate seeing — what Arbinger calls the box — is the subject of this book.</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Book Analysis</w:t>
      </w:r>
    </w:p>
    <w:p>
      <w:pPr>
        <w:spacing w:after="160" w:before="80"/>
      </w:pPr>
      <w:r>
        <w:rPr>
          <w:rFonts w:ascii="Arial" w:cs="Arial" w:eastAsia="Arial" w:hAnsi="Arial"/>
          <w:i/>
          <w:iCs/>
          <w:color w:val="555555"/>
          <w:sz w:val="20"/>
          <w:szCs w:val="20"/>
        </w:rPr>
        <w:t xml:space="preserve">What the Arbinger Institute argues — and why a diagnosis of self-deception is the prerequisite for every other leadership improvement.</w:t>
      </w:r>
    </w:p>
    <w:p>
      <w:pPr>
        <w:pStyle w:val="Heading2"/>
        <w:spacing w:after="80" w:before="240"/>
      </w:pPr>
      <w:r>
        <w:rPr>
          <w:rFonts w:ascii="Arial" w:cs="Arial" w:eastAsia="Arial" w:hAnsi="Arial"/>
          <w:b/>
          <w:bCs/>
          <w:color w:val="2E5090"/>
          <w:sz w:val="22"/>
          <w:szCs w:val="22"/>
        </w:rPr>
        <w:t xml:space="preserve">The Central Argument</w:t>
      </w:r>
    </w:p>
    <w:p>
      <w:pPr>
        <w:spacing w:after="120" w:before="80"/>
      </w:pPr>
      <w:r>
        <w:rPr>
          <w:rFonts w:ascii="Arial" w:cs="Arial" w:eastAsia="Arial" w:hAnsi="Arial"/>
          <w:sz w:val="20"/>
          <w:szCs w:val="20"/>
        </w:rPr>
        <w:t xml:space="preserve">The book’s central argument is built around a precise mechanism. When a person ignores what they instinctively know to be right in a situation — an impulse to help, to acknowledge, to be honest — Arbinger calls this self-betrayal. In the moment of self-betrayal, a need emerges to justify the choice not to act. That justification requires a distorted view of the other person: they become less fully human in the mind of the person who betrayed their own impulse. Over time, repeated self-betrayal produces a stable orientation — the box — in which the person consistently sees others through a lens that protects and perpetuates the self-justifying narrative.</w:t>
      </w:r>
    </w:p>
    <w:p>
      <w:pPr>
        <w:spacing w:after="120" w:before="80"/>
      </w:pPr>
      <w:r>
        <w:rPr>
          <w:rFonts w:ascii="Arial" w:cs="Arial" w:eastAsia="Arial" w:hAnsi="Arial"/>
          <w:sz w:val="20"/>
          <w:szCs w:val="20"/>
        </w:rPr>
        <w:t xml:space="preserve">The diagnosis is uncomfortable precisely because it does not locate the problem in ignorance or malice. The person in the box is not failing to lead because they lack skills or information. They are failing because their perception of the situation — of the people involved, of what is happening and why — is systematically distorted in ways that protect the self-image rather than serve the mission. And the distortion feels accurate. That is the mechanism’s essential feature: self-deception does not feel like deception. It feels like clarity.</w:t>
      </w:r>
    </w:p>
    <w:p>
      <w:pPr>
        <w:pStyle w:val="Heading2"/>
        <w:spacing w:after="80" w:before="240"/>
      </w:pPr>
      <w:r>
        <w:rPr>
          <w:rFonts w:ascii="Arial" w:cs="Arial" w:eastAsia="Arial" w:hAnsi="Arial"/>
          <w:b/>
          <w:bCs/>
          <w:color w:val="2E5090"/>
          <w:sz w:val="22"/>
          <w:szCs w:val="22"/>
        </w:rPr>
        <w:t xml:space="preserve">Key Frameworks and Ideas</w:t>
      </w:r>
    </w:p>
    <w:p>
      <w:pPr>
        <w:spacing w:after="120" w:before="80"/>
      </w:pPr>
      <w:r>
        <w:rPr>
          <w:rFonts w:ascii="Arial" w:cs="Arial" w:eastAsia="Arial" w:hAnsi="Arial"/>
          <w:sz w:val="20"/>
          <w:szCs w:val="20"/>
        </w:rPr>
        <w:t xml:space="preserve">The book delivers its argument through a narrative structure — a new executive being coached through the framework by more senior colleagues — which makes the ideas more accessible than an analytical presentation would but also limits the depth at which any single idea is developed. The trade-off is intentional: Arbinger is trying to produce recognition, not theoretical sophistication. The narrative form allows the reader to track the mechanism through a human story rather than through abstract argument.</w:t>
      </w:r>
    </w:p>
    <w:p>
      <w:pPr>
        <w:spacing w:after="120" w:before="80"/>
      </w:pPr>
      <w:r>
        <w:rPr>
          <w:rFonts w:ascii="Arial" w:cs="Arial" w:eastAsia="Arial" w:hAnsi="Arial"/>
          <w:sz w:val="20"/>
          <w:szCs w:val="20"/>
        </w:rPr>
        <w:t xml:space="preserve">The framework’s most useful diagnostic tool is the distinction between being in the box and being out of it as it manifests in daily leadership behavior. When in the box, a leader characteristically: focuses on what others are doing wrong to justify their own position; resists information that contradicts the self-justifying narrative; inflates their own contribution and minimizes others’; treats people management as a problem of controlling behavior rather than understanding perspective. When out of the box, the same leader has access to a different quality of attention: they see what other people actually need, they hear information they would previously have filtered, and their leadership actions have a different quality that other people can feel even without being able to name it.</w:t>
      </w:r>
    </w:p>
    <w:p>
      <w:pPr>
        <w:spacing w:after="120" w:before="80"/>
      </w:pPr>
      <w:r>
        <w:rPr>
          <w:rFonts w:ascii="Arial" w:cs="Arial" w:eastAsia="Arial" w:hAnsi="Arial"/>
          <w:sz w:val="20"/>
          <w:szCs w:val="20"/>
        </w:rPr>
        <w:t xml:space="preserve">The book’s honest limitation is that it diagnoses the condition more clearly than it prescribes the path out of it. Arbinger’s answer — that getting out of the box requires genuinely seeing others as people rather than objects — is true but not always practically sufficient. The book describes what the shift feels like once it has happened more than it explains how to produce it in a specific relationship where the box has been established for years. Readers who find the diagnosis accurate will want to pair this book with others in the library that address the specific practices of accountability, trust-building, and honest conversation.</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Leadership Transition Commentary</w:t>
      </w:r>
    </w:p>
    <w:p>
      <w:pPr>
        <w:spacing w:after="120" w:before="80"/>
      </w:pPr>
      <w:r>
        <w:rPr>
          <w:rFonts w:ascii="Arial" w:cs="Arial" w:eastAsia="Arial" w:hAnsi="Arial"/>
          <w:sz w:val="20"/>
          <w:szCs w:val="20"/>
        </w:rPr>
        <w:t xml:space="preserve">There is a structural feature of senior military leadership that this book addresses more directly than almost anything else in the library, and it deserves to be named without softening: the higher the rank, the more thoroughly the environment around you has been shaped to confirm your perceptions rather than challenge them. This is not a character failure. It is a design feature. Effective command requires the authority to make decisions quickly, and effective organizational cultures support that authority by reducing friction around the leader’s judgment. The consequence, over twenty or thirty years, is that the feedback loops that would otherwise correct self-deception become progressively less functional.</w:t>
      </w:r>
    </w:p>
    <w:p>
      <w:pPr>
        <w:spacing w:after="120" w:before="80"/>
      </w:pPr>
      <w:r>
        <w:rPr>
          <w:rFonts w:ascii="Arial" w:cs="Arial" w:eastAsia="Arial" w:hAnsi="Arial"/>
          <w:sz w:val="20"/>
          <w:szCs w:val="20"/>
        </w:rPr>
        <w:t xml:space="preserve">This matters at transition for a specific reason. The leader who arrives in a civilian organization with a distorted self-perception — not aware of it, not having been meaningfully challenged on it for years — will encounter the civilian environment through that distortion. The frustration that many senior military leaders feel in their first civilian roles is often attributed to cultural differences, civilian work norms, or the absence of clear accountability structures. Some of that is accurate. But some of it is the box. The civilian environment has its own self-serving narratives, its own inefficiencies, its own frustrations — but it is not structured to defer to the new leader’s perceptions, and the resulting friction can feel like a problem with the environment when it is partly a problem with the lens.</w:t>
      </w:r>
    </w:p>
    <w:p>
      <w:pPr>
        <w:spacing w:after="120" w:before="80"/>
      </w:pPr>
      <w:r>
        <w:rPr>
          <w:rFonts w:ascii="Arial" w:cs="Arial" w:eastAsia="Arial" w:hAnsi="Arial"/>
          <w:sz w:val="20"/>
          <w:szCs w:val="20"/>
        </w:rPr>
        <w:t xml:space="preserve">Arbinger’s most challenging observation for this reader is that intelligence and accomplishment do not protect against self-deception. They may, in fact, accelerate it — because the intelligent person is better at constructing coherent self-justifying narratives and at finding evidence that confirms them. A leader who built a genuinely impressive career does not lack the intellectual resources to rationalize whatever version of their current situation they find most comfortable. The book is asking whether those resources are being directed toward accurate self-understanding or toward its opposite.</w:t>
      </w:r>
    </w:p>
    <w:p>
      <w:pPr>
        <w:spacing w:after="120" w:before="80"/>
      </w:pPr>
      <w:r>
        <w:rPr>
          <w:rFonts w:ascii="Arial" w:cs="Arial" w:eastAsia="Arial" w:hAnsi="Arial"/>
          <w:sz w:val="20"/>
          <w:szCs w:val="20"/>
        </w:rPr>
        <w:t xml:space="preserve">The transition context makes this examination more possible, not less. The institutional structure that reinforced the leader’s perceptions for decades is no longer present. The deference is gone. The organizational buffer is gone. What remains is the pattern of seeing itself — and without the institutional scaffolding, it is more visible than it has ever been. That visibility is not comfortable, but it is available. The reader who uses this transition to do the honest examination this book requires will arrive at the next chapter with cleaner perceptions than those who defer the work.</w:t>
      </w:r>
    </w:p>
    <w:p>
      <w:pPr>
        <w:spacing w:after="120" w:before="80"/>
      </w:pPr>
      <w:r>
        <w:rPr>
          <w:rFonts w:ascii="Arial" w:cs="Arial" w:eastAsia="Arial" w:hAnsi="Arial"/>
          <w:sz w:val="20"/>
          <w:szCs w:val="20"/>
        </w:rPr>
        <w:t xml:space="preserve">The limitation worth naming: Arbinger’s framework can be misapplied. Some leaders will read this book and use it as a diagnostic tool for other people rather than themselves — identifying who in their environment is in the box rather than examining their own condition. That application is the box’s own self-preservation strategy. The book is a mirror, not a lens for examining others. If the reader’s primary takeaway is a list of people around them who need to read it, the book has not been read in the spirit it was written.</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Practical Applications</w:t>
      </w:r>
    </w:p>
    <w:p>
      <w:pPr>
        <w:pStyle w:val="ListParagraph"/>
        <w:numPr>
          <w:ilvl w:val="0"/>
          <w:numId w:val="2"/>
        </w:numPr>
        <w:spacing w:after="100" w:before="80"/>
      </w:pPr>
      <w:r>
        <w:rPr>
          <w:rFonts w:ascii="Arial" w:cs="Arial" w:eastAsia="Arial" w:hAnsi="Arial"/>
          <w:sz w:val="20"/>
          <w:szCs w:val="20"/>
        </w:rPr>
        <w:t xml:space="preserve">Identify one relationship where you are currently in the box. Not a relationship where someone else is in the box — a relationship where your own perception of the other person is serving a self-justifying narrative more than it is serving accurate understanding. What would you have to acknowledge about the other person’s perspective, needs, or legitimate position for your view of the situation to change? What has prevented you from acknowledging it?</w:t>
      </w:r>
    </w:p>
    <w:p>
      <w:pPr>
        <w:pStyle w:val="ListParagraph"/>
        <w:numPr>
          <w:ilvl w:val="0"/>
          <w:numId w:val="2"/>
        </w:numPr>
        <w:spacing w:after="100" w:before="80"/>
      </w:pPr>
      <w:r>
        <w:rPr>
          <w:rFonts w:ascii="Arial" w:cs="Arial" w:eastAsia="Arial" w:hAnsi="Arial"/>
          <w:sz w:val="20"/>
          <w:szCs w:val="20"/>
        </w:rPr>
        <w:t xml:space="preserve">Trace a recent frustration backward to the self-betrayal. Think of a recent situation where you felt frustrated with someone’s performance or attitude. Work backward: was there a moment earlier in the relationship — an impulse to acknowledge their perspective, to have a harder conversation, to be more honest about your own role — that you did not act on? Arbinger’s framework predicts that the current frustration is downstream of that earlier choice.</w:t>
      </w:r>
    </w:p>
    <w:p>
      <w:pPr>
        <w:pStyle w:val="ListParagraph"/>
        <w:numPr>
          <w:ilvl w:val="0"/>
          <w:numId w:val="2"/>
        </w:numPr>
        <w:spacing w:after="100" w:before="80"/>
      </w:pPr>
      <w:r>
        <w:rPr>
          <w:rFonts w:ascii="Arial" w:cs="Arial" w:eastAsia="Arial" w:hAnsi="Arial"/>
          <w:sz w:val="20"/>
          <w:szCs w:val="20"/>
        </w:rPr>
        <w:t xml:space="preserve">Ask someone who will be honest with you how you come across in a new civilian environment. Not how you are performing — how you are perceived. The leader who has spent a career in an environment structured to confirm their perceptions needs external input to calibrate, and needs to choose the source carefully: someone who has no reason to flatter and who has observed enough to have an informed view.</w:t>
      </w:r>
    </w:p>
    <w:p>
      <w:pPr>
        <w:pStyle w:val="ListParagraph"/>
        <w:numPr>
          <w:ilvl w:val="0"/>
          <w:numId w:val="2"/>
        </w:numPr>
        <w:spacing w:after="100" w:before="80"/>
      </w:pPr>
      <w:r>
        <w:rPr>
          <w:rFonts w:ascii="Arial" w:cs="Arial" w:eastAsia="Arial" w:hAnsi="Arial"/>
          <w:sz w:val="20"/>
          <w:szCs w:val="20"/>
        </w:rPr>
        <w:t xml:space="preserve">Before your next significant leadership conversation, spend five minutes genuinely considering the other person’s perspective as if it were legitimate. Not in order to agree with it — in order to understand it accurately. Arbinger’s insight is that the quality of the conversation changes when the leader enters it having genuinely seen the other person, and that change is detectable by both parties.</w:t>
      </w:r>
    </w:p>
    <w:p>
      <w:pPr>
        <w:pStyle w:val="ListParagraph"/>
        <w:numPr>
          <w:ilvl w:val="0"/>
          <w:numId w:val="2"/>
        </w:numPr>
        <w:spacing w:after="100" w:before="80"/>
      </w:pPr>
      <w:r>
        <w:rPr>
          <w:rFonts w:ascii="Arial" w:cs="Arial" w:eastAsia="Arial" w:hAnsi="Arial"/>
          <w:sz w:val="20"/>
          <w:szCs w:val="20"/>
        </w:rPr>
        <w:t xml:space="preserve">Read this book alongside Ego Is the Enemy. Arbinger’s box and Holiday’s ego are different diagnostic frameworks for overlapping conditions. Reading them together produces a more complete map of how self-protective identity distorts leadership than either provides alone. Note specifically where your own pattern of self-deception intersects with the ego trap Holiday describes.</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Reflection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Question</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Identity &amp; Self-Awareness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Arbinger argues that self-deception does not feel like deception — it feels like accurate perception. Think of a significant relationship or situation in your leadership career where you held a strong view of what was happening and why. What alternative account of that situation would be possible if you removed the constraint of needing to be right? What does the difficulty or ease of generating that alternative tell you?</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Transition Experience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institutional feedback loops that shaped your perceptions over a career are gone. What you are left with is the pattern of seeing itself. In your current transition, which of your perceptions about the people and situations you are encountering feel most certain? Certainty, in Arbinger’s framework, is often the signal worth examining. What would it mean if even one of your most certain perceptions were partially constructed rather than simply accurate?</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Purpose &amp; Legacy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leaders who do the most damage in organizations are rarely the ones who behave badly on purpose. They are the ones whose self-deception has reached a scale that insulates them from accurate information about their own impact. Looking forward at the people you intend to serve in the next chapter, what does the quality of your self-awareness today suggest about the kind of leader you will be in the relationships that matter most?</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Book-Specific Application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book’s narrative ends with the protagonist understanding the framework but facing the ongoing work of applying it. Arbinger is clear that getting out of the box in one relationship does not mean remaining out of it permanently or in all relationships. Where in your current life are you most likely to re-enter the box under pressure — and what does your answer reveal about the specific self-justifying narrative you are most invested in protecting?</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Cross-Book Wisdom Connections</w:t>
      </w:r>
    </w:p>
    <w:p>
      <w:pPr>
        <w:spacing w:after="160" w:before="80"/>
      </w:pPr>
      <w:r>
        <w:rPr>
          <w:rFonts w:ascii="Arial" w:cs="Arial" w:eastAsia="Arial" w:hAnsi="Arial"/>
          <w:i/>
          <w:iCs/>
          <w:color w:val="555555"/>
          <w:sz w:val="20"/>
          <w:szCs w:val="20"/>
        </w:rPr>
        <w:t xml:space="preserve">Leadership and Self-Deception sits at the intersection of identity and accountability — the point where the question of who a leader actually is meets the question of what they are willing to take genuine responsibility for. Its connections run from the Stoic tradition that addresses the same mechanism of self-protective perception, to the psychological and organizational research that arrived at the same diagnosis from entirely different directions.</w:t>
      </w:r>
    </w:p>
    <w:p>
      <w:pPr>
        <w:spacing w:after="60" w:before="200"/>
      </w:pPr>
      <w:r>
        <w:rPr>
          <w:rFonts w:ascii="Arial" w:cs="Arial" w:eastAsia="Arial" w:hAnsi="Arial"/>
          <w:b/>
          <w:bCs/>
          <w:color w:val="1F3864"/>
          <w:sz w:val="20"/>
          <w:szCs w:val="20"/>
        </w:rPr>
        <w:t xml:space="preserve">Connection 1 — </w:t>
      </w:r>
      <w:r>
        <w:rPr>
          <w:rFonts w:ascii="Arial" w:cs="Arial" w:eastAsia="Arial" w:hAnsi="Arial"/>
          <w:b/>
          <w:bCs/>
          <w:sz w:val="20"/>
          <w:szCs w:val="20"/>
        </w:rPr>
        <w:t xml:space="preserve">Ego Is the Enemy by Ryan Holiday  </w:t>
      </w:r>
      <w:r>
        <w:rPr>
          <w:rFonts w:ascii="Arial" w:cs="Arial" w:eastAsia="Arial" w:hAnsi="Arial"/>
          <w:i/>
          <w:iCs/>
          <w:color w:val="555555"/>
          <w:sz w:val="18"/>
          <w:szCs w:val="18"/>
        </w:rPr>
        <w:t xml:space="preserve">[Diagnostic Pair · Identity + Character]</w:t>
      </w:r>
    </w:p>
    <w:p>
      <w:pPr>
        <w:spacing w:after="120" w:before="80"/>
      </w:pPr>
      <w:r>
        <w:rPr>
          <w:rFonts w:ascii="Arial" w:cs="Arial" w:eastAsia="Arial" w:hAnsi="Arial"/>
          <w:sz w:val="20"/>
          <w:szCs w:val="20"/>
        </w:rPr>
        <w:t xml:space="preserve">Holiday and Arbinger are diagnosing the same underlying condition from two different intellectual traditions. Holiday’s ego — the self built on external recognition and the approval of others — and Arbinger’s box — the self-justifying orientation that distorts perception — are not the same concept, but they are two faces of the same failure mode: the leader whose self-image has become so central to their functioning that accurate self-examination is no longer fully available to them. What Holiday calls the ego trap, Arbinger calls self-deception. What Holiday addresses through Stoic philosophy, Arbinger addresses through organizational psychology. The Diagnostic Pair relationship is precise: Holiday names the phenomenon and its structure; Arbinger explains the specific relational and perceptual distortions it produces in the leader’s daily interactions. A leader reading both books finds that the ego and the box reinforce each other — the more entrenched the ego, the more elaborate the self-deception required to maintain it — and that addressing one without the other leaves the work incomplete.</w:t>
      </w:r>
    </w:p>
    <w:p>
      <w:pPr>
        <w:spacing w:after="60" w:before="200"/>
      </w:pPr>
      <w:r>
        <w:rPr>
          <w:rFonts w:ascii="Arial" w:cs="Arial" w:eastAsia="Arial" w:hAnsi="Arial"/>
          <w:b/>
          <w:bCs/>
          <w:color w:val="1F3864"/>
          <w:sz w:val="20"/>
          <w:szCs w:val="20"/>
        </w:rPr>
        <w:t xml:space="preserve">Connection 2 — </w:t>
      </w:r>
      <w:r>
        <w:rPr>
          <w:rFonts w:ascii="Arial" w:cs="Arial" w:eastAsia="Arial" w:hAnsi="Arial"/>
          <w:b/>
          <w:bCs/>
          <w:sz w:val="20"/>
          <w:szCs w:val="20"/>
        </w:rPr>
        <w:t xml:space="preserve">Meditations by Marcus Aurelius  </w:t>
      </w:r>
      <w:r>
        <w:rPr>
          <w:rFonts w:ascii="Arial" w:cs="Arial" w:eastAsia="Arial" w:hAnsi="Arial"/>
          <w:i/>
          <w:iCs/>
          <w:color w:val="555555"/>
          <w:sz w:val="18"/>
          <w:szCs w:val="18"/>
        </w:rPr>
        <w:t xml:space="preserve">[Tradition Bridge · Character + Accountability]</w:t>
      </w:r>
    </w:p>
    <w:p>
      <w:pPr>
        <w:spacing w:after="120" w:before="80"/>
      </w:pPr>
      <w:r>
        <w:rPr>
          <w:rFonts w:ascii="Arial" w:cs="Arial" w:eastAsia="Arial" w:hAnsi="Arial"/>
          <w:sz w:val="20"/>
          <w:szCs w:val="20"/>
        </w:rPr>
        <w:t xml:space="preserve">Aurelius addressed the condition Arbinger diagnoses as a daily philosophical practice. The Meditations are, in significant part, a sustained effort to prevent self-deception at the seat of the most powerful institution in the Western world — to keep his perception of events, people, and his own motivations honest under conditions that would have made distortion easy and comfortable. His specific concern, repeated across the journals, is with the difference between what he sees and what is actually there — with the gap between impression and reality that power tends to close in the powerful person’s favor. The Tradition Bridge here reveals something important: Arbinger’s framework, developed in late twentieth-century organizational psychology, is describing a problem that the second-century Stoics understood as the central challenge of anyone exercising significant authority. The specific convergence is Aurelius’s practice of testing his own perceptions — asking whether his view of a person or situation is shaped by what he wants to be true rather than what is — which is the daily behavioral equivalent of Arbinger’s prescription for getting out of the box.</w:t>
      </w:r>
    </w:p>
    <w:p>
      <w:pPr>
        <w:spacing w:after="60" w:before="200"/>
      </w:pPr>
      <w:r>
        <w:rPr>
          <w:rFonts w:ascii="Arial" w:cs="Arial" w:eastAsia="Arial" w:hAnsi="Arial"/>
          <w:b/>
          <w:bCs/>
          <w:color w:val="1F3864"/>
          <w:sz w:val="20"/>
          <w:szCs w:val="20"/>
        </w:rPr>
        <w:t xml:space="preserve">Connection 3 — </w:t>
      </w:r>
      <w:r>
        <w:rPr>
          <w:rFonts w:ascii="Arial" w:cs="Arial" w:eastAsia="Arial" w:hAnsi="Arial"/>
          <w:b/>
          <w:bCs/>
          <w:sz w:val="20"/>
          <w:szCs w:val="20"/>
        </w:rPr>
        <w:t xml:space="preserve">The 7 Habits of Highly Effective People by Stephen Covey  </w:t>
      </w:r>
      <w:r>
        <w:rPr>
          <w:rFonts w:ascii="Arial" w:cs="Arial" w:eastAsia="Arial" w:hAnsi="Arial"/>
          <w:i/>
          <w:iCs/>
          <w:color w:val="555555"/>
          <w:sz w:val="18"/>
          <w:szCs w:val="18"/>
        </w:rPr>
        <w:t xml:space="preserve">[Foundation · Accountability + Character]</w:t>
      </w:r>
    </w:p>
    <w:p>
      <w:pPr>
        <w:spacing w:after="120" w:before="80"/>
      </w:pPr>
      <w:r>
        <w:rPr>
          <w:rFonts w:ascii="Arial" w:cs="Arial" w:eastAsia="Arial" w:hAnsi="Arial"/>
          <w:sz w:val="20"/>
          <w:szCs w:val="20"/>
        </w:rPr>
        <w:t xml:space="preserve">Covey’s character ethic and Arbinger’s self-deception framework address the same fundamental claim from different angles: that sustained leadership effectiveness requires an interior foundation that self-deception undermines. Where Covey builds the positive case — this is what the character ethic looks like and what it produces — Arbinger builds the diagnostic case: this is what prevents the character ethic from taking root and this is the mechanism by which well-intentioned leaders systematically defeat their own good intentions. The foundation relationship is specific: Covey’s private victory framework — the internal work of taking responsibility for one’s responses, clarifying principles, and organizing around them — is precisely the work that Arbinger’s self-deception makes inaccessible. A leader in the box cannot execute Covey’s private victory, because the box’s function is to prevent the honest self-examination that the private victory requires. Reading Arbinger before or alongside Covey is not optional supplementary reading. It is the prerequisite.</w:t>
      </w:r>
    </w:p>
    <w:p>
      <w:pPr>
        <w:spacing w:after="60" w:before="200"/>
      </w:pPr>
      <w:r>
        <w:rPr>
          <w:rFonts w:ascii="Arial" w:cs="Arial" w:eastAsia="Arial" w:hAnsi="Arial"/>
          <w:b/>
          <w:bCs/>
          <w:color w:val="1F3864"/>
          <w:sz w:val="20"/>
          <w:szCs w:val="20"/>
        </w:rPr>
        <w:t xml:space="preserve">Connection 4 — </w:t>
      </w:r>
      <w:r>
        <w:rPr>
          <w:rFonts w:ascii="Arial" w:cs="Arial" w:eastAsia="Arial" w:hAnsi="Arial"/>
          <w:b/>
          <w:bCs/>
          <w:sz w:val="20"/>
          <w:szCs w:val="20"/>
        </w:rPr>
        <w:t xml:space="preserve">Crucial Conversations by Patterson et al.  </w:t>
      </w:r>
      <w:r>
        <w:rPr>
          <w:rFonts w:ascii="Arial" w:cs="Arial" w:eastAsia="Arial" w:hAnsi="Arial"/>
          <w:i/>
          <w:iCs/>
          <w:color w:val="555555"/>
          <w:sz w:val="18"/>
          <w:szCs w:val="18"/>
        </w:rPr>
        <w:t xml:space="preserve">[Extension · Trust + Accountability]</w:t>
      </w:r>
    </w:p>
    <w:p>
      <w:pPr>
        <w:spacing w:after="120" w:before="80"/>
      </w:pPr>
      <w:r>
        <w:rPr>
          <w:rFonts w:ascii="Arial" w:cs="Arial" w:eastAsia="Arial" w:hAnsi="Arial"/>
          <w:sz w:val="20"/>
          <w:szCs w:val="20"/>
        </w:rPr>
        <w:t xml:space="preserve">Patterson and colleagues address what happens in the specific high-stakes conversations where Arbinger’s box most reliably causes damage: when the stakes are high, emotions run strong, and the leader’s self-justifying narrative is most actively engaged. Crucial Conversations provides the practical toolkit — what to do in the conversation itself, how to create safety, how to share difficult truths without triggering defensiveness — that Arbinger does not supply. The extension relationship is direct: Arbinger diagnoses why leaders fail in crucial conversations (they are in the box, seeing the other person as an obstacle or a problem rather than as a person with legitimate needs), and Crucial Conversations provides the behavioral framework for what to do instead. For the transitioning military leader who will encounter civilian environments where the authority structure does not simplify difficult conversations, the two books together provide both the self-awareness and the practical skill that those conversations require.</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Closing Reflection</w:t>
      </w:r>
    </w:p>
    <w:p>
      <w:pPr>
        <w:spacing w:after="120" w:before="80"/>
      </w:pPr>
      <w:r>
        <w:rPr>
          <w:rFonts w:ascii="Arial" w:cs="Arial" w:eastAsia="Arial" w:hAnsi="Arial"/>
          <w:sz w:val="20"/>
          <w:szCs w:val="20"/>
        </w:rPr>
        <w:t xml:space="preserve">The most useful thing about this book is also the most uncomfortable: it does not allow the reader to finish it thinking primarily about other people. Every framework it provides, every example it walks through, every diagnostic question it poses is designed to redirect attention inward. That is not comfortable, and it is not supposed to be. The book itself isn’t gentle — the Canon Guide’s instruction is accurate on that point.</w:t>
      </w:r>
    </w:p>
    <w:p>
      <w:pPr>
        <w:spacing w:after="120" w:before="80"/>
      </w:pPr>
      <w:r>
        <w:rPr>
          <w:rFonts w:ascii="Arial" w:cs="Arial" w:eastAsia="Arial" w:hAnsi="Arial"/>
          <w:sz w:val="20"/>
          <w:szCs w:val="20"/>
        </w:rPr>
        <w:t xml:space="preserve">What the book offers is not a technique for becoming a better leader. It offers something prior to that: the possibility of seeing more accurately. And seeing more accurately is prerequisite to everything else the library asks of this reader — the authentic mission statement Covey requires, the honest self-examination Frankl and Aurelius model, the genuine service orientation Greenleaf describes. None of those things are available in full to a leader who is in the box.</w:t>
      </w:r>
    </w:p>
    <w:p>
      <w:pPr>
        <w:spacing w:after="120" w:before="80"/>
      </w:pPr>
      <w:r>
        <w:rPr>
          <w:rFonts w:ascii="Arial" w:cs="Arial" w:eastAsia="Arial" w:hAnsi="Arial"/>
          <w:sz w:val="20"/>
          <w:szCs w:val="20"/>
        </w:rPr>
        <w:t xml:space="preserve">The transition period is, among other things, an unusual opportunity for this work. The institutional structures that reinforced self-justifying perceptions for years are gone. What remains is the pattern itself, visible now in a way it rarely was during service. That visibility is not a comfortable gift. But it is a genuine one, and the leaders who use it honestly tend to carry something cleaner into the next chapter than those who wait for more favorable conditions to examine themselves. More favorable conditions do not arrive.</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Related Books</w:t>
      </w:r>
    </w:p>
    <w:p>
      <w:pPr>
        <w:spacing w:after="160" w:before="80"/>
      </w:pPr>
      <w:r>
        <w:rPr>
          <w:rFonts w:ascii="Arial" w:cs="Arial" w:eastAsia="Arial" w:hAnsi="Arial"/>
          <w:i/>
          <w:iCs/>
          <w:color w:val="555555"/>
          <w:sz w:val="20"/>
          <w:szCs w:val="20"/>
        </w:rPr>
        <w:t xml:space="preserve">These titles extend and apply the self-deception framework — each addressing a specific dimension the Arbinger diagnosis points toward.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Book &amp; Author</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Why the Connection Matters for This Reader</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Ego Is the Enemy</w:t>
            </w:r>
          </w:p>
          <w:p>
            <w:r>
              <w:rPr>
                <w:rFonts w:ascii="Arial" w:cs="Arial" w:eastAsia="Arial" w:hAnsi="Arial"/>
                <w:i/>
                <w:iCs/>
                <w:color w:val="555555"/>
                <w:sz w:val="16"/>
                <w:szCs w:val="16"/>
              </w:rPr>
              <w:t xml:space="preserve">·  Ryan Holiday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closest diagnostic companion — Holiday’s ego and Arbinger’s box are different vocabularies for the same failure mode; reading both produces the library’s most complete map of self-protective identity.</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Meditations</w:t>
            </w:r>
          </w:p>
          <w:p>
            <w:r>
              <w:rPr>
                <w:rFonts w:ascii="Arial" w:cs="Arial" w:eastAsia="Arial" w:hAnsi="Arial"/>
                <w:i/>
                <w:iCs/>
                <w:color w:val="555555"/>
                <w:sz w:val="16"/>
                <w:szCs w:val="16"/>
              </w:rPr>
              <w:t xml:space="preserve">·  Marcus Aurelius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ancient practice of the same discipline — Aurelius spent his private journals doing exactly what Arbinger prescribes: testing his own perceptions against the question of what is actually true.</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Crucial Conversations</w:t>
            </w:r>
          </w:p>
          <w:p>
            <w:r>
              <w:rPr>
                <w:rFonts w:ascii="Arial" w:cs="Arial" w:eastAsia="Arial" w:hAnsi="Arial"/>
                <w:i/>
                <w:iCs/>
                <w:color w:val="555555"/>
                <w:sz w:val="16"/>
                <w:szCs w:val="16"/>
              </w:rPr>
              <w:t xml:space="preserve">·  Patterson et 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practical extension — Arbinger explains why difficult conversations fail; Crucial Conversations provides the framework for conducting them from outside the box.</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The 7 Habits of Highly Effective People</w:t>
            </w:r>
          </w:p>
          <w:p>
            <w:r>
              <w:rPr>
                <w:rFonts w:ascii="Arial" w:cs="Arial" w:eastAsia="Arial" w:hAnsi="Arial"/>
                <w:i/>
                <w:iCs/>
                <w:color w:val="555555"/>
                <w:sz w:val="16"/>
                <w:szCs w:val="16"/>
              </w:rPr>
              <w:t xml:space="preserve">·  Stephen Covey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positive counterpart — Covey’s private victory framework is precisely what self-deception makes inaccessible; reading both reveals the prerequisite structure beneath the habits.</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Man’s Search for Meaning</w:t>
            </w:r>
          </w:p>
          <w:p>
            <w:r>
              <w:rPr>
                <w:rFonts w:ascii="Arial" w:cs="Arial" w:eastAsia="Arial" w:hAnsi="Arial"/>
                <w:i/>
                <w:iCs/>
                <w:color w:val="555555"/>
                <w:sz w:val="16"/>
                <w:szCs w:val="16"/>
              </w:rPr>
              <w:t xml:space="preserve">·  Viktor Frankl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existential anchor — Frankl’s freedom of response is only genuine when the perception of the situation is honest; self-deception is what prevents the exercise of that freedom.</w:t>
            </w:r>
          </w:p>
        </w:tc>
      </w:tr>
    </w:tbl>
    <w:p>
      <w:pPr>
        <w:spacing w:after="60" w:before="60"/>
      </w:pPr>
      <w:r>
        <w:t xml:space="preserve"/>
      </w:r>
    </w:p>
    <w:p>
      <w:pPr>
        <w:pBdr>
          <w:top w:val="single" w:color="1F3864" w:sz="4" w:space="4"/>
        </w:pBdr>
        <w:spacing w:after="0" w:before="240"/>
      </w:pPr>
      <w:r>
        <w:rPr>
          <w:rFonts w:ascii="Arial" w:cs="Arial" w:eastAsia="Arial" w:hAnsi="Arial"/>
          <w:color w:val="777777"/>
          <w:sz w:val="16"/>
          <w:szCs w:val="16"/>
        </w:rPr>
        <w:t xml:space="preserve">Search Keywords:  self-deception  ·  in the box  ·  Arbinger  ·  self-betrayal  ·  accountability  ·  identity  ·  trust  ·  leadership failure  ·  perception  ·  military transition</w:t>
      </w:r>
    </w:p>
    <w:p>
      <w:pPr>
        <w:spacing w:after="0" w:before="60"/>
      </w:pPr>
      <w:r>
        <w:rPr>
          <w:rFonts w:ascii="Arial" w:cs="Arial" w:eastAsia="Arial" w:hAnsi="Arial"/>
          <w:color w:val="777777"/>
          <w:sz w:val="16"/>
          <w:szCs w:val="16"/>
        </w:rPr>
        <w:t xml:space="preserve">Leadership Through Transition  ·  Book Entry  ·  Version 1.0  ·  June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50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2026-06-12T11:04:56.513Z</dcterms:created>
  <dcterms:modified xsi:type="dcterms:W3CDTF">2026-06-12T11:04:56.514Z</dcterms:modified>
</cp:coreProperties>
</file>

<file path=docProps/custom.xml><?xml version="1.0" encoding="utf-8"?>
<Properties xmlns="http://schemas.openxmlformats.org/officeDocument/2006/custom-properties" xmlns:vt="http://schemas.openxmlformats.org/officeDocument/2006/docPropsVTypes"/>
</file>