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The Servant as Leader</w:t>
      </w:r>
    </w:p>
    <w:p>
      <w:pPr>
        <w:spacing w:after="100" w:before="0"/>
      </w:pPr>
      <w:r>
        <w:rPr>
          <w:rFonts w:ascii="Arial" w:cs="Arial" w:eastAsia="Arial" w:hAnsi="Arial"/>
          <w:color w:val="555555"/>
          <w:sz w:val="22"/>
          <w:szCs w:val="22"/>
        </w:rPr>
        <w:t xml:space="preserve">Robert K. Greenleaf  ·  1970</w:t>
      </w:r>
    </w:p>
    <w:p>
      <w:pPr>
        <w:pBdr>
          <w:left w:val="single" w:color="1F3864" w:sz="12" w:space="8"/>
        </w:pBdr>
        <w:spacing w:after="240" w:before="0"/>
        <w:ind w:left="240"/>
      </w:pPr>
      <w:r>
        <w:rPr>
          <w:rFonts w:ascii="Arial" w:cs="Arial" w:eastAsia="Arial" w:hAnsi="Arial"/>
          <w:i/>
          <w:iCs/>
          <w:color w:val="333333"/>
          <w:sz w:val="20"/>
          <w:szCs w:val="20"/>
        </w:rPr>
        <w:t xml:space="preserve">Greenleaf argues that the most effective leaders begin with a natural desire to serve others first, and that the quality of their leadership is measured not by what they achieve but by whether those they lead grow as persons.</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Foundational Canon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 Node — 5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  Philosophy  ·  Personal Development</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Service  ·  Humility  ·  Mentorship  ·  Character  ·  Influence  ·  Growth Mindset</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  Purpose  ·  Legacy  ·  Service Beyond Uniform  ·  Fulfillment</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Beyond Rank  ·  Finding Purpose After Service  ·  Leadership Foundations  ·  Preparing for Retirement  ·  Developing Future Leaders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Service  ·  Identity  ·  Legacy  ·  Mentorship  ·  Purpose</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servant-leader begins with a natural desire to serve others and only then consciously aspires to lead — a sequence that reverses the pattern of those who lead primarily in order to acquire power or position.</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best test of servant leadership is a question about growth: do those served grow as persons, become healthier, wiser, freer, more capable, and more likely to become servants themselves?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Service is not a role assigned by rank or position — it is an orientation toward the world that persists when the rank and position are gone.</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leader’s most enduring legacy is not what they built but who they developed — the people whose capacity to lead was enlarged by the quality of the attention a servant-leader gave them.</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journey from military identity to post-service purpose is most naturally navigated by those who recognize that service was never a job description — it was always a calling.</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At some point near the end of a military career, a question surfaces that rarely got asked during it. Not what comes next — that question arrives early and often. The deeper one. The one that emerges quietly in the gap between who the institution said you were and who you actually are: what is all of this service actually for?</w:t>
      </w:r>
    </w:p>
    <w:p>
      <w:pPr>
        <w:spacing w:after="120" w:before="80"/>
      </w:pPr>
      <w:r>
        <w:rPr>
          <w:rFonts w:ascii="Arial" w:cs="Arial" w:eastAsia="Arial" w:hAnsi="Arial"/>
          <w:sz w:val="20"/>
          <w:szCs w:val="20"/>
        </w:rPr>
        <w:t xml:space="preserve">Most transition resources treat that as a logistical question. It is not. It is a philosophical one, and it deserves a philosophical answer. Robert Greenleaf wrote fewer than fifty pages that address it more directly than almost anything else in the leadership canon. His essay is not a career planning guide. It is an argument about what leadership is fundamentally for — an argument that military leaders will recognize not because the language is familiar but because it names something they have been practicing for decades without always having the vocabulary for it.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Greenleaf argues — and why a 50-page essay from 1970 remains the fullest articulation of post-service leadership identity in the library.</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Greenleaf’s argument begins with a distinction that sounds deceptively simple: there are leaders who begin with a desire to serve and aspire to lead because they believe it is the best way to serve more effectively, and there are leaders who begin with a desire to lead — for power, status, or the exercise of authority — and who add the rhetoric of service secondarily. He calls the first category servant-leaders. He argues that the distinction is not merely moral but structural: servant-leaders produce fundamentally different outcomes for those they lead, and those differences are measurable.</w:t>
      </w:r>
    </w:p>
    <w:p>
      <w:pPr>
        <w:spacing w:after="120" w:before="80"/>
      </w:pPr>
      <w:r>
        <w:rPr>
          <w:rFonts w:ascii="Arial" w:cs="Arial" w:eastAsia="Arial" w:hAnsi="Arial"/>
          <w:sz w:val="20"/>
          <w:szCs w:val="20"/>
        </w:rPr>
        <w:t xml:space="preserve">The governing test Greenleaf offers is deceptively demanding: do those served grow as persons? Do they become healthier, wiser, freer, more autonomous, and more likely to become servants themselves? And what of the least privileged in the community — are they benefited, or at least not further deprived? This is not the standard most leadership frameworks apply. Most frameworks measure upward outcomes — what the organization achieves. Greenleaf’s test measures downward impact: what happens to the people at the base of the enterprise as a direct consequence of how they were led.</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The essay introduces what Greenleaf calls the servant-leader’s listening discipline — the capacity to attend fully to another person, without agenda or premature judgment, in a way that enlarges rather than diminishes the person being heard. This is not simply an interpersonal skill. It is, in Greenleaf’s framing, the foundation of the trust that makes genuine leadership possible. Authority without listening produces compliance. Listening produces something more durable: the willingness of people to follow even when the authority structure is not available to compel them.</w:t>
      </w:r>
    </w:p>
    <w:p>
      <w:pPr>
        <w:spacing w:after="120" w:before="80"/>
      </w:pPr>
      <w:r>
        <w:rPr>
          <w:rFonts w:ascii="Arial" w:cs="Arial" w:eastAsia="Arial" w:hAnsi="Arial"/>
          <w:sz w:val="20"/>
          <w:szCs w:val="20"/>
        </w:rPr>
        <w:t xml:space="preserve">A second concept central to the essay is foresight — the ability to perceive a convergence of current events that others have not yet recognized, to understand where a path leads before the evidence is conclusive. Greenleaf treats foresight not as a personality trait but as a discipline cultivated by leaders who have invested deeply in understanding the people and forces around them. The servant-leader’s listening is preparation for foresight: sustained attention to what is actually happening produces the pattern recognition that allows the leader to see around corners.</w:t>
      </w:r>
    </w:p>
    <w:p>
      <w:pPr>
        <w:spacing w:after="120" w:before="80"/>
      </w:pPr>
      <w:r>
        <w:rPr>
          <w:rFonts w:ascii="Arial" w:cs="Arial" w:eastAsia="Arial" w:hAnsi="Arial"/>
          <w:sz w:val="20"/>
          <w:szCs w:val="20"/>
        </w:rPr>
        <w:t xml:space="preserve">The honest limitation of the essay is its form. Greenleaf is not building a framework in the systematic sense; he is articulating a vision and sketching its implications. The essay is more philosophical than practical, more descriptive than prescriptive. Readers who need actionable models will find them elsewhere in the library. What the essay provides is the foundation — the moral and philosophical case for a particular understanding of what leadership is for — that those models rest on.</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There is a specific confusion that surfaces for military leaders in transition, and it does not get resolved by a job search or a resume workshop. It is the confusion between service as a role and service as an identity. For twenty or thirty years, service was both simultaneously — the role provided the structure within which the identity was expressed, and the two were so thoroughly integrated that most leaders never needed to distinguish between them. Transition separates them. The role ends. The identity does not have to, but it often feels like it does.</w:t>
      </w:r>
    </w:p>
    <w:p>
      <w:pPr>
        <w:spacing w:after="120" w:before="80"/>
      </w:pPr>
      <w:r>
        <w:rPr>
          <w:rFonts w:ascii="Arial" w:cs="Arial" w:eastAsia="Arial" w:hAnsi="Arial"/>
          <w:sz w:val="20"/>
          <w:szCs w:val="20"/>
        </w:rPr>
        <w:t xml:space="preserve">Greenleaf’s essay is most valuable at precisely this point. His argument is that servant leadership is not a function of rank, institutional authority, or organizational position. It is a personal orientation — a way of relating to other people that precedes any formal role and survives the removal of every formal role. The officer who commanded a carrier strike group is a servant-leader not because of the stars on the collar but because of the question that governed every decision: are the people I am responsible for growing? Are they becoming more capable, more confident, more equipped for what comes next? That question does not expire at retirement. It simply searches for a new address.</w:t>
      </w:r>
    </w:p>
    <w:p>
      <w:pPr>
        <w:spacing w:after="120" w:before="80"/>
      </w:pPr>
      <w:r>
        <w:rPr>
          <w:rFonts w:ascii="Arial" w:cs="Arial" w:eastAsia="Arial" w:hAnsi="Arial"/>
          <w:sz w:val="20"/>
          <w:szCs w:val="20"/>
        </w:rPr>
        <w:t xml:space="preserve">What the essay offers the transition reader is something most transition resources cannot provide: a positive identity container to move toward. Most of the library’s identity work is diagnostic — it identifies what was borrowed from the institution, what needs to be released, what was never actually the rank. Greenleaf does something different. He describes what the leader moves toward when that work is done. Not a new title. Not a civilian equivalent of the military role. A sustained commitment to the growth of others — in any context, at any scale, through any means available.</w:t>
      </w:r>
    </w:p>
    <w:p>
      <w:pPr>
        <w:spacing w:after="120" w:before="80"/>
      </w:pPr>
      <w:r>
        <w:rPr>
          <w:rFonts w:ascii="Arial" w:cs="Arial" w:eastAsia="Arial" w:hAnsi="Arial"/>
          <w:sz w:val="20"/>
          <w:szCs w:val="20"/>
        </w:rPr>
        <w:t xml:space="preserve">The military value system maps onto Greenleaf’s framework with unusual precision, which is worth examining rather than simply accepting. The Warrior Ethos, the NCO Creed, the various service commitments — all of them articulate some version of Greenleaf’s servant-leader test. The question is whether that articulation was genuinely internalized or whether it was performed in the context of a culture that rewarded its performance. Transition is the test. The leader who served because the institution rewarded service will find the motivation structure gone. The leader who served because it was the answer to their deepest question about what leadership is for will find that nothing has changed except the context.</w:t>
      </w:r>
    </w:p>
    <w:p>
      <w:pPr>
        <w:spacing w:after="120" w:before="80"/>
      </w:pPr>
      <w:r>
        <w:rPr>
          <w:rFonts w:ascii="Arial" w:cs="Arial" w:eastAsia="Arial" w:hAnsi="Arial"/>
          <w:sz w:val="20"/>
          <w:szCs w:val="20"/>
        </w:rPr>
        <w:t xml:space="preserve">The honest complication Greenleaf’s framework does not fully address is the transition reader’s most practical question: how does service orientation translate into sustainable livelihood in a civilian context? The essay is philosophical, not economic. It does not help the transitioning leader determine which civilian roles allow servant leadership to be expressed, what compensation looks like for someone whose primary motivation is the growth of others, or how to find organizations whose cultures reward service rather than exploit it. Those questions require other books. Greenleaf provides the foundation; the next chapter requires building on it.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Apply Greenleaf’s test to your own leadership history. Identify three people you led at significant points in your career and ask, specifically: did they grow as persons under your leadership? Did they leave more capable, more confident, and more equipped than when they arrived? What your honest answers reveal about the kind of leadership you actually practiced — not the kind you intended — is worth knowing before building the next chapter on it.</w:t>
      </w:r>
    </w:p>
    <w:p>
      <w:pPr>
        <w:pStyle w:val="ListParagraph"/>
        <w:numPr>
          <w:ilvl w:val="0"/>
          <w:numId w:val="2"/>
        </w:numPr>
        <w:spacing w:after="100" w:before="80"/>
      </w:pPr>
      <w:r>
        <w:rPr>
          <w:rFonts w:ascii="Arial" w:cs="Arial" w:eastAsia="Arial" w:hAnsi="Arial"/>
          <w:sz w:val="20"/>
          <w:szCs w:val="20"/>
        </w:rPr>
        <w:t xml:space="preserve">Practice the listening discipline in one conversation this week. Greenleaf’s listening is not passive — it is the active suspension of your own agenda in service of fully understanding another person. Choose one conversation in the next week where you have a stake in the outcome and practice attending fully to the other person before formulating a response. Notice what you learn that you would not have learned had you led with your own position.</w:t>
      </w:r>
    </w:p>
    <w:p>
      <w:pPr>
        <w:pStyle w:val="ListParagraph"/>
        <w:numPr>
          <w:ilvl w:val="0"/>
          <w:numId w:val="2"/>
        </w:numPr>
        <w:spacing w:after="100" w:before="80"/>
      </w:pPr>
      <w:r>
        <w:rPr>
          <w:rFonts w:ascii="Arial" w:cs="Arial" w:eastAsia="Arial" w:hAnsi="Arial"/>
          <w:sz w:val="20"/>
          <w:szCs w:val="20"/>
        </w:rPr>
        <w:t xml:space="preserve">Identify the two or three people whose growth is your responsibility now. Greenleaf argues that servant leadership is expressed through specific relationships, not general orientation. In the context of your current life — family, community, any organization you are building toward — name the people whose development you are actually responsible for. What does your investment in their growth currently look like, and what would it look like if you took Greenleaf’s test seriously?</w:t>
      </w:r>
    </w:p>
    <w:p>
      <w:pPr>
        <w:pStyle w:val="ListParagraph"/>
        <w:numPr>
          <w:ilvl w:val="0"/>
          <w:numId w:val="2"/>
        </w:numPr>
        <w:spacing w:after="100" w:before="80"/>
      </w:pPr>
      <w:r>
        <w:rPr>
          <w:rFonts w:ascii="Arial" w:cs="Arial" w:eastAsia="Arial" w:hAnsi="Arial"/>
          <w:sz w:val="20"/>
          <w:szCs w:val="20"/>
        </w:rPr>
        <w:t xml:space="preserve">Write one sentence that completes Greenleaf’s implicit purpose statement for your next chapter: ‘The people I intend to serve are… and I will know I have served them well when…’ The specificity required to complete that sentence honestly is the specificity that separates a service orientation from a service aspiration.</w:t>
      </w:r>
    </w:p>
    <w:p>
      <w:pPr>
        <w:pStyle w:val="ListParagraph"/>
        <w:numPr>
          <w:ilvl w:val="0"/>
          <w:numId w:val="2"/>
        </w:numPr>
        <w:spacing w:after="100" w:before="80"/>
      </w:pPr>
      <w:r>
        <w:rPr>
          <w:rFonts w:ascii="Arial" w:cs="Arial" w:eastAsia="Arial" w:hAnsi="Arial"/>
          <w:sz w:val="20"/>
          <w:szCs w:val="20"/>
        </w:rPr>
        <w:t xml:space="preserve">Find the civilian organizations whose culture actually rewards servant leadership. They exist and they are not uniformly small or nonprofit. Before joining any organization in your second career, investigate whether its leadership structure asks the question Greenleaf asks — whether those at the base of the enterprise benefit from how they are led. The difference between leading in an organization that rewards service and leading in one that exploits it will determine whether your service orientation is an asset or a vulnerability.</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Greenleaf draws a distinction between leaders who begin with the desire to serve and those who begin with the desire to lead. Looking honestly at your own career — not at your intentions but at the pattern of your actual decisions — which orientation was more consistently operative? What does your answer reveal about the identity you are carrying into the next chapter?</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role of military leader is gone. The orientation of service does not have to be. What specific form is your service orientation taking right now — not in the abstract, but in your actual relationships and commitments? If the answer is unclear or thin, what would it take to give service an address in your current life?</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Greenleaf’s best test asks whether those you lead are growing as persons. Think forward rather than backward: in the next chapter of your life, who are the specific people whose growth you intend to invest in? What would a five-year answer to Greenleaf’s test look like for those people — and what does the clarity or difficulty of imagining that answer tell you about where your sense of purpose currently lives?</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essay is less than 50 pages, which means the commentary must carry a weight the text itself does not supply. What specific claim in Greenleaf’s argument do you find most true based on your own experience of being led well? What claim do you find most difficult to accept, and what does your resistance to it reveal?</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The Servant as Leader is the library’s clearest articulation of service as a post-institutional identity — the bridge between what military service was and what the commitment to serve others becomes when the institution no longer structures it. Its connections run across ancient philosophy, modern organizational science, and the adjacent purpose frameworks in the library, each approaching the same fundamental claim from a different direction.</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Meditations by Marcus Aurelius  </w:t>
      </w:r>
      <w:r>
        <w:rPr>
          <w:rFonts w:ascii="Arial" w:cs="Arial" w:eastAsia="Arial" w:hAnsi="Arial"/>
          <w:i/>
          <w:iCs/>
          <w:color w:val="555555"/>
          <w:sz w:val="18"/>
          <w:szCs w:val="18"/>
        </w:rPr>
        <w:t xml:space="preserve">[Convergence · Service + Purpose]</w:t>
      </w:r>
    </w:p>
    <w:p>
      <w:pPr>
        <w:spacing w:after="120" w:before="80"/>
      </w:pPr>
      <w:r>
        <w:rPr>
          <w:rFonts w:ascii="Arial" w:cs="Arial" w:eastAsia="Arial" w:hAnsi="Arial"/>
          <w:sz w:val="20"/>
          <w:szCs w:val="20"/>
        </w:rPr>
        <w:t xml:space="preserve">Aurelius and Greenleaf arrived at the same conviction through different paths. Aurelius, writing private notes to himself as emperor, returns repeatedly to the same organizing principle: his authority existed to serve the welfare of those under his care, and any use of it for personal aggrandizement was a failure of both character and purpose. Greenleaf, writing as an organizational researcher in the late twentieth century, makes the identical argument from a secular managerial tradition. The specific convergence: both identify service not as a duty imposed by role but as the natural expression of a particular kind of character — one that defines itself in relation to others rather than in relation to its own achievement. For the military leader navigating the gap between who the institution said they were and who they actually are, Aurelius and Greenleaf together provide the oldest and the most recent expression of the same answer: the self that survives the removal of institutional authority is the one that was always oriented toward others.</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Leaders Eat Last by Simon Sinek  </w:t>
      </w:r>
      <w:r>
        <w:rPr>
          <w:rFonts w:ascii="Arial" w:cs="Arial" w:eastAsia="Arial" w:hAnsi="Arial"/>
          <w:i/>
          <w:iCs/>
          <w:color w:val="555555"/>
          <w:sz w:val="18"/>
          <w:szCs w:val="18"/>
        </w:rPr>
        <w:t xml:space="preserve">[Extension · Service + Belonging]</w:t>
      </w:r>
    </w:p>
    <w:p>
      <w:pPr>
        <w:spacing w:after="120" w:before="80"/>
      </w:pPr>
      <w:r>
        <w:rPr>
          <w:rFonts w:ascii="Arial" w:cs="Arial" w:eastAsia="Arial" w:hAnsi="Arial"/>
          <w:sz w:val="20"/>
          <w:szCs w:val="20"/>
        </w:rPr>
        <w:t xml:space="preserve">Sinek extends Greenleaf’s philosophical argument into the neurological and organizational territory that Greenleaf did not occupy. Where Greenleaf describes what servant leadership looks like from the inside — the orientation, the test, the disciplines — Sinek explains why it works from the outside: the neurochemical architecture of trust, belonging, and protection that servant leaders create generates the conditions under which people do their best work and experience genuine meaning in their labor. The extension relationship is direct: Greenleaf gives the what and why of servant leadership at the philosophical level; Sinek gives the how and why at the organizational and biological level. For the transition reader whose military identity was built around precisely this kind of trust-based, protection-oriented leadership culture, the two books together explain both what they built and why it mattered in the way it did — and why finding or building its civilian equivalent is worth the search.</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The Analects of Confucius  </w:t>
      </w:r>
      <w:r>
        <w:rPr>
          <w:rFonts w:ascii="Arial" w:cs="Arial" w:eastAsia="Arial" w:hAnsi="Arial"/>
          <w:i/>
          <w:iCs/>
          <w:color w:val="555555"/>
          <w:sz w:val="18"/>
          <w:szCs w:val="18"/>
        </w:rPr>
        <w:t xml:space="preserve">[Tradition Bridge · Service + Mentorship]</w:t>
      </w:r>
    </w:p>
    <w:p>
      <w:pPr>
        <w:spacing w:after="120" w:before="80"/>
      </w:pPr>
      <w:r>
        <w:rPr>
          <w:rFonts w:ascii="Arial" w:cs="Arial" w:eastAsia="Arial" w:hAnsi="Arial"/>
          <w:sz w:val="20"/>
          <w:szCs w:val="20"/>
        </w:rPr>
        <w:t xml:space="preserve">Confucius, writing in the fifth century BC, developed a philosophy of leadership that Greenleaf would have recognized immediately, filtered through a profoundly different cultural context. The Confucian ideal of ren — often translated as humaneness or benevolence — is the disposition toward others that places their wellbeing and development at the center of one’s concern. The superior person in the Analects is not measured by title, wealth, or position but by the quality of their relationships: the loyalty they inspire, the growth they cultivate, the wisdom they transmit. The tradition bridge here crosses twenty-five centuries and one of the largest cultural distances in the library. What it reveals is that Greenleaf’s servant-leader test — do those served grow as persons? — is not a twentieth-century insight or a Western one. It is a recurring finding across the traditions that have thought most seriously about what leadership is actually for.</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Man’s Search for Meaning by Viktor Frankl  </w:t>
      </w:r>
      <w:r>
        <w:rPr>
          <w:rFonts w:ascii="Arial" w:cs="Arial" w:eastAsia="Arial" w:hAnsi="Arial"/>
          <w:i/>
          <w:iCs/>
          <w:color w:val="555555"/>
          <w:sz w:val="18"/>
          <w:szCs w:val="18"/>
        </w:rPr>
        <w:t xml:space="preserve">[Convergence · Purpose + Identity]</w:t>
      </w:r>
    </w:p>
    <w:p>
      <w:pPr>
        <w:spacing w:after="120" w:before="80"/>
      </w:pPr>
      <w:r>
        <w:rPr>
          <w:rFonts w:ascii="Arial" w:cs="Arial" w:eastAsia="Arial" w:hAnsi="Arial"/>
          <w:sz w:val="20"/>
          <w:szCs w:val="20"/>
        </w:rPr>
        <w:t xml:space="preserve">Frankl and Greenleaf approach the question of post-institutional purpose from complementary angles. Frankl’s existential framework — built from the observation that meaning is found most reliably in service to something or someone beyond the self — provides the philosophical foundation beneath Greenleaf’s servant-leader identity. The convergence is specific: both argue that purpose rooted in the growth and wellbeing of others is more durable, more resilient under adversity, and more resistant to the identity collapse that follows the removal of external structures than purpose rooted in personal achievement or institutional belonging. For the military leader who is trying to understand why the service identity felt so complete and what it will mean to rebuild something comparably solid, Frankl provides the existential explanation and Greenleaf provides the relational architecture. Together, they answer the question this entry began with: what is all of this service actually for? It is for the people whose growth you carried as your responsibility. And that responsibility does not have an expiration date.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things that are most useful about Greenleaf’s essay are also the things that make it easy to read past. The prose is careful and deliberate; the argument is quietly stated; the claims are not accompanied by data sets or dramatic case studies. It is possible to read the essay and come away with a sense of pleasant moral confirmation rather than genuine challenge. That would be a mistake.</w:t>
      </w:r>
    </w:p>
    <w:p>
      <w:pPr>
        <w:spacing w:after="120" w:before="80"/>
      </w:pPr>
      <w:r>
        <w:rPr>
          <w:rFonts w:ascii="Arial" w:cs="Arial" w:eastAsia="Arial" w:hAnsi="Arial"/>
          <w:sz w:val="20"/>
          <w:szCs w:val="20"/>
        </w:rPr>
        <w:t xml:space="preserve">The challenge in Greenleaf is the test. It is not difficult to believe oneself a servant-leader in the abstract. It is considerably more difficult to apply the specific criterion he proposes to the specific people you have actually led and receive an honest answer. Some leaders will find, when they apply it honestly, that the service was real. Others will find that it was real in some relationships and not others, consistent in some seasons and absent in others. The essay does not shame either finding. It simply insists that honesty about which is which is the beginning of the work.</w:t>
      </w:r>
    </w:p>
    <w:p>
      <w:pPr>
        <w:spacing w:after="120" w:before="80"/>
      </w:pPr>
      <w:r>
        <w:rPr>
          <w:rFonts w:ascii="Arial" w:cs="Arial" w:eastAsia="Arial" w:hAnsi="Arial"/>
          <w:sz w:val="20"/>
          <w:szCs w:val="20"/>
        </w:rPr>
        <w:t xml:space="preserve">What Greenleaf offers the transition reader is not comfort. It is direction. When the institutional structure is gone and the question of what all this service was actually for becomes genuinely urgent, his answer is available: it was for the people. It still is. The next chapter is built on the same foundation as the last one, applied in new contexts, at whatever scale is available, for as long as the capacity to serve lasts.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the servant leadership framework in specific directions — each deepening a dimension the essay names but does not fully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Leaders Eat Last</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Provides the organizational and biological explanation for why Greenleaf’s servant-leader culture produces the results it does — the science beneath the philosophy.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Man’s Search for Meaning</w:t>
            </w:r>
          </w:p>
          <w:p>
            <w:r>
              <w:rPr>
                <w:rFonts w:ascii="Arial" w:cs="Arial" w:eastAsia="Arial" w:hAnsi="Arial"/>
                <w:i/>
                <w:iCs/>
                <w:color w:val="555555"/>
                <w:sz w:val="16"/>
                <w:szCs w:val="16"/>
              </w:rPr>
              <w:t xml:space="preserve">·  Viktor Frankl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existential companion — Frankl’s framework explains why service to others produces the meaning that makes post-service identity sustainable.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Meditations</w:t>
            </w:r>
          </w:p>
          <w:p>
            <w:r>
              <w:rPr>
                <w:rFonts w:ascii="Arial" w:cs="Arial" w:eastAsia="Arial" w:hAnsi="Arial"/>
                <w:i/>
                <w:iCs/>
                <w:color w:val="555555"/>
                <w:sz w:val="16"/>
                <w:szCs w:val="16"/>
              </w:rPr>
              <w:t xml:space="preserve">·  Marcus Aurelius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ancient philosophical source — Aurelius practiced the servant-leader orientation as emperor of Rome; reading him after Greenleaf shows how old the conviction actually is.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Analects of Confucius</w:t>
            </w:r>
          </w:p>
          <w:p>
            <w:r>
              <w:rPr>
                <w:rFonts w:ascii="Arial" w:cs="Arial" w:eastAsia="Arial" w:hAnsi="Arial"/>
                <w:i/>
                <w:iCs/>
                <w:color w:val="555555"/>
                <w:sz w:val="16"/>
                <w:szCs w:val="16"/>
              </w:rPr>
              <w:t xml:space="preserve">·  Confucius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Eastern tradition parallel — the Confucian ideal of ren covers the same ground Greenleaf covers from a tradition that arrived there independently and two millennia earlier.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Start With Why</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Translates Greenleaf’s service orientation into a practical framework for building organizations and communicating purpose in a way that attracts others to the mission.</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servant leadership  ·  service  ·  Greenleaf  ·  post-service identity  ·  mentorship  ·  legacy  ·  purpose  ·  leadership philosophy  ·  military transition  ·  growth</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2026-06-12T11:01:58.386Z</dcterms:created>
  <dcterms:modified xsi:type="dcterms:W3CDTF">2026-06-12T11:01:58.406Z</dcterms:modified>
</cp:coreProperties>
</file>

<file path=docProps/custom.xml><?xml version="1.0" encoding="utf-8"?>
<Properties xmlns="http://schemas.openxmlformats.org/officeDocument/2006/custom-properties" xmlns:vt="http://schemas.openxmlformats.org/officeDocument/2006/docPropsVTypes"/>
</file>