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60"/>
              <w:left w:type="dxa" w:w="360"/>
              <w:bottom w:type="dxa" w:w="360"/>
              <w:right w:type="dxa" w:w="360"/>
            </w:tcMar>
          </w:tcPr>
          <w:p>
            <w:pPr>
              <w:spacing w:after="120" w:before="0"/>
            </w:pPr>
            <w:r>
              <w:rPr>
                <w:rFonts w:ascii="Arial" w:cs="Arial" w:eastAsia="Arial" w:hAnsi="Arial"/>
                <w:b/>
                <w:bCs/>
                <w:caps/>
                <w:color w:val="FFFFFF"/>
                <w:sz w:val="24"/>
                <w:szCs w:val="24"/>
              </w:rPr>
              <w:t xml:space="preserve">LEADERSHIP THROUGH TRANSITION</w:t>
            </w:r>
          </w:p>
          <w:p>
            <w:pPr>
              <w:spacing w:after="0" w:before="0"/>
            </w:pPr>
            <w:r>
              <w:rPr>
                <w:rFonts w:ascii="Arial" w:cs="Arial" w:eastAsia="Arial" w:hAnsi="Arial"/>
                <w:color w:val="B0C4D8"/>
                <w:sz w:val="20"/>
                <w:szCs w:val="20"/>
              </w:rPr>
              <w:t xml:space="preserve">Editorial Standards Division</w:t>
            </w:r>
          </w:p>
        </w:tc>
      </w:tr>
    </w:tbl>
    <w:p>
      <w:pPr>
        <w:spacing w:after="0" w:before="1440"/>
      </w:pPr>
      <w:r>
        <w:rPr>
          <w:rFonts w:ascii="Georgia" w:cs="Georgia" w:eastAsia="Georgia" w:hAnsi="Georgia"/>
          <w:color w:val="1A1A1A"/>
          <w:sz w:val="22"/>
          <w:szCs w:val="22"/>
        </w:rPr>
        <w:t xml:space="preserve"/>
      </w:r>
    </w:p>
    <w:p>
      <w:pPr>
        <w:spacing w:after="240" w:before="0"/>
        <w:jc w:val="center"/>
      </w:pPr>
      <w:r>
        <w:rPr>
          <w:rFonts w:ascii="Arial" w:cs="Arial" w:eastAsia="Arial" w:hAnsi="Arial"/>
          <w:b/>
          <w:bCs/>
          <w:color w:val="1B2A4A"/>
          <w:sz w:val="56"/>
          <w:szCs w:val="56"/>
        </w:rPr>
        <w:t xml:space="preserve">EDITORIAL PLAYBOOK</w:t>
      </w:r>
    </w:p>
    <w:p>
      <w:pPr>
        <w:spacing w:after="480" w:before="0"/>
        <w:jc w:val="center"/>
      </w:pPr>
      <w:r>
        <w:rPr>
          <w:rFonts w:ascii="Georgia" w:cs="Georgia" w:eastAsia="Georgia" w:hAnsi="Georgia"/>
          <w:i/>
          <w:iCs/>
          <w:color w:val="B8962E"/>
          <w:sz w:val="28"/>
          <w:szCs w:val="28"/>
        </w:rPr>
        <w:t xml:space="preserve">For Leadership Through Transition Book Entries</w:t>
      </w:r>
    </w:p>
    <w:p>
      <w:pPr>
        <w:pBdr>
          <w:bottom w:val="single" w:color="B8962E" w:sz="12" w:space="1"/>
        </w:pBdr>
        <w:spacing w:after="480" w:before="0"/>
      </w:pPr>
      <w:r>
        <w:rPr>
          <w:rFonts w:ascii="Georgia" w:cs="Georgia" w:eastAsia="Georgia" w:hAnsi="Georgia"/>
          <w:color w:val="1A1A1A"/>
          <w:sz w:val="22"/>
          <w:szCs w:val="22"/>
        </w:rPr>
        <w:t xml:space="preserve"/>
      </w:r>
    </w:p>
    <w:p>
      <w:pPr>
        <w:spacing w:after="160" w:before="0"/>
        <w:jc w:val="center"/>
      </w:pPr>
      <w:r>
        <w:rPr>
          <w:rFonts w:ascii="Georgia" w:cs="Georgia" w:eastAsia="Georgia" w:hAnsi="Georgia"/>
          <w:i/>
          <w:iCs/>
          <w:color w:val="5A5A5A"/>
          <w:sz w:val="22"/>
          <w:szCs w:val="22"/>
        </w:rPr>
        <w:t xml:space="preserve">Derived from the Gold Standard Review of the Identity Trilogy — Man's Search for Meaning  ·  Meditations  ·  Ego Is the Enemy</w:t>
      </w:r>
    </w:p>
    <w:p>
      <w:pPr>
        <w:spacing w:after="480" w:before="0"/>
        <w:jc w:val="center"/>
      </w:pPr>
      <w:r>
        <w:rPr>
          <w:rFonts w:ascii="Georgia" w:cs="Georgia" w:eastAsia="Georgia" w:hAnsi="Georgia"/>
          <w:i/>
          <w:iCs/>
          <w:color w:val="5A5A5A"/>
          <w:sz w:val="20"/>
          <w:szCs w:val="20"/>
        </w:rPr>
        <w:t xml:space="preserve">Governing Standards: Project Constitution  ·  Voice &amp; Style Guide  ·  Taxonomy &amp; Content Standards  ·  Book Entry Blueprint  ·  Cross-Book Wisdom Framework</w:t>
      </w:r>
    </w:p>
    <w:p>
      <w:pPr>
        <w:spacing w:after="0" w:before="144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Document Type</w:t>
            </w:r>
          </w:p>
        </w:tc>
        <w:tc>
          <w:tcPr>
            <w:tcW w:type="dxa" w:w="65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Editorial Playbook — Training Reference</w:t>
            </w:r>
          </w:p>
        </w:tc>
      </w:tr>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Version</w:t>
            </w:r>
          </w:p>
        </w:tc>
        <w:tc>
          <w:tcPr>
            <w:tcW w:type="dxa" w:w="656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1.0</w:t>
            </w:r>
          </w:p>
        </w:tc>
      </w:tr>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Based On</w:t>
            </w:r>
          </w:p>
        </w:tc>
        <w:tc>
          <w:tcPr>
            <w:tcW w:type="dxa" w:w="65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Gold Standard Review v1.0 — Identity Trilogy</w:t>
            </w:r>
          </w:p>
        </w:tc>
      </w:tr>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Governs</w:t>
            </w:r>
          </w:p>
        </w:tc>
        <w:tc>
          <w:tcPr>
            <w:tcW w:type="dxa" w:w="656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All Leadership Through Transition book entries</w:t>
            </w:r>
          </w:p>
        </w:tc>
      </w:tr>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Date</w:t>
            </w:r>
          </w:p>
        </w:tc>
        <w:tc>
          <w:tcPr>
            <w:tcW w:type="dxa" w:w="65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June 2025</w:t>
            </w:r>
          </w:p>
        </w:tc>
      </w:tr>
    </w:tbl>
    <w:p>
      <w:pPr>
        <w:spacing w:after="0" w:before="48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thick" w:color="B8962E" w:sz="24"/>
              <w:bottom w:val="single" w:color="1B2A4A" w:sz="12"/>
              <w:right w:val="none" w:color="FFFFFF" w:sz="0"/>
            </w:tcBorders>
            <w:shd w:fill="EAF2F8" w:val="clear"/>
            <w:tcMar>
              <w:top w:type="dxa" w:w="160"/>
              <w:left w:type="dxa" w:w="240"/>
              <w:bottom w:type="dxa" w:w="160"/>
              <w:right w:type="dxa" w:w="240"/>
            </w:tcMar>
          </w:tcPr>
          <w:p>
            <w:pPr>
              <w:spacing w:after="0" w:before="0"/>
            </w:pPr>
            <w:r>
              <w:rPr>
                <w:rFonts w:ascii="Georgia" w:cs="Georgia" w:eastAsia="Georgia" w:hAnsi="Georgia"/>
                <w:i/>
                <w:iCs/>
                <w:color w:val="1B2A4A"/>
                <w:sz w:val="22"/>
                <w:szCs w:val="22"/>
              </w:rPr>
              <w:t xml:space="preserve">This playbook translates the Gold Standard Review findings into actionable editorial guidance. Every rule is sourced to a specific finding. Every example is drawn from an entry the library has already designated as its reference standard.</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2A4A"/>
          <w:sz w:val="26"/>
          <w:szCs w:val="26"/>
        </w:rPr>
        <w:t xml:space="preserve">TABLE OF CONTENTS</w:t>
      </w:r>
    </w:p>
    <w:sdt>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1  ·  PURPOSE OF THIS PLAYBOOK</w:t>
      </w:r>
    </w:p>
    <w:p>
      <w:pPr>
        <w:spacing w:after="160" w:before="80"/>
      </w:pPr>
      <w:r>
        <w:rPr>
          <w:rFonts w:ascii="Georgia" w:cs="Georgia" w:eastAsia="Georgia" w:hAnsi="Georgia"/>
          <w:color w:val="1A1A1A"/>
          <w:sz w:val="22"/>
          <w:szCs w:val="22"/>
        </w:rPr>
        <w:t xml:space="preserve">This playbook translates the Gold Standard Review findings — drawn from the pre-designation audit of the Identity Trilogy (Man's Search for Meaning, Meditations, and Ego Is the Enemy) — into direct editorial guidance for every Leadership Through Transition book entry.</w:t>
      </w:r>
    </w:p>
    <w:p>
      <w:pPr>
        <w:spacing w:after="160" w:before="80"/>
      </w:pPr>
      <w:r>
        <w:rPr>
          <w:rFonts w:ascii="Georgia" w:cs="Georgia" w:eastAsia="Georgia" w:hAnsi="Georgia"/>
          <w:color w:val="1A1A1A"/>
          <w:sz w:val="22"/>
          <w:szCs w:val="22"/>
        </w:rPr>
        <w:t xml:space="preserve">The Gold Standard entries are not merely good entries. They are the permanent reference standard against which every subsequent entry will be measured and against which every new editor will be trained. This document distills what made them work and what, in a few cases, required correction before they earned that designation.</w:t>
      </w:r>
    </w:p>
    <w:p>
      <w:pPr>
        <w:spacing w:after="160" w:before="80"/>
      </w:pPr>
      <w:r>
        <w:rPr>
          <w:rFonts w:ascii="Georgia" w:cs="Georgia" w:eastAsia="Georgia" w:hAnsi="Georgia"/>
          <w:color w:val="1A1A1A"/>
          <w:sz w:val="22"/>
          <w:szCs w:val="22"/>
        </w:rPr>
        <w:t xml:space="preserve">Every guidance point in this playbook is sourced to a specific review finding. Every prohibited pattern was observed and flagged. Every encouraged pattern was observed, validated against the governing standards, and explicitly encoded.</w:t>
      </w:r>
    </w:p>
    <w:p>
      <w:pPr>
        <w:spacing w:after="0" w:before="12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thick" w:color="B8962E" w:sz="24"/>
              <w:bottom w:val="single" w:color="1B2A4A" w:sz="12"/>
              <w:right w:val="none" w:color="FFFFFF" w:sz="0"/>
            </w:tcBorders>
            <w:shd w:fill="EAF2F8" w:val="clear"/>
            <w:tcMar>
              <w:top w:type="dxa" w:w="160"/>
              <w:left w:type="dxa" w:w="240"/>
              <w:bottom w:type="dxa" w:w="160"/>
              <w:right w:type="dxa" w:w="240"/>
            </w:tcMar>
          </w:tcPr>
          <w:p>
            <w:pPr>
              <w:spacing w:after="0" w:before="0"/>
            </w:pPr>
            <w:r>
              <w:rPr>
                <w:rFonts w:ascii="Georgia" w:cs="Georgia" w:eastAsia="Georgia" w:hAnsi="Georgia"/>
                <w:i/>
                <w:iCs/>
                <w:color w:val="1B2A4A"/>
                <w:sz w:val="22"/>
                <w:szCs w:val="22"/>
              </w:rPr>
              <w:t xml:space="preserve">Read this document alongside the Gold Standard entries themselves. The entries are the evidence. This playbook is the explanation.</w:t>
            </w:r>
          </w:p>
        </w:tc>
      </w:tr>
    </w:tbl>
    <w:p>
      <w:pPr>
        <w:spacing w:after="0" w:before="200"/>
      </w:pPr>
      <w:r>
        <w:rPr>
          <w:rFonts w:ascii="Georgia" w:cs="Georgia" w:eastAsia="Georgia" w:hAnsi="Georgia"/>
          <w:color w:val="1A1A1A"/>
          <w:sz w:val="22"/>
          <w:szCs w:val="22"/>
        </w:rPr>
        <w:t xml:space="preserv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2  ·  WHAT EXCELLENT ENTRIES CONSISTENTLY DO</w:t>
      </w:r>
    </w:p>
    <w:p>
      <w:pPr>
        <w:spacing w:after="160" w:before="80"/>
      </w:pPr>
      <w:r>
        <w:rPr>
          <w:rFonts w:ascii="Georgia" w:cs="Georgia" w:eastAsia="Georgia" w:hAnsi="Georgia"/>
          <w:color w:val="1A1A1A"/>
          <w:sz w:val="22"/>
          <w:szCs w:val="22"/>
        </w:rPr>
        <w:t xml:space="preserve">The following patterns appeared consistently across all three Gold Standard entries. Each was rated Strong or Meets in the section-by-section scorecard and has been formally encoded as a positive example for editor training.</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2.1  The Leadership Transition Commentary Carries the Entry</w:t>
      </w:r>
    </w:p>
    <w:p>
      <w:pPr>
        <w:spacing w:after="160" w:before="80"/>
      </w:pPr>
      <w:r>
        <w:rPr>
          <w:rFonts w:ascii="Georgia" w:cs="Georgia" w:eastAsia="Georgia" w:hAnsi="Georgia"/>
          <w:color w:val="1A1A1A"/>
          <w:sz w:val="22"/>
          <w:szCs w:val="22"/>
        </w:rPr>
        <w:t xml:space="preserve">The Leadership Transition Commentary is the platform's most important section, and all three Gold Standard entries deliver it at full extension. The strongest entries use this section to say something that could not have been written by someone who had not understood military leadership from the inside — not translated military vocabulary layered over generic career advice, but structurally military observations.</w:t>
      </w:r>
    </w:p>
    <w:p>
      <w:pPr>
        <w:spacing w:after="160" w:before="80"/>
      </w:pPr>
      <w:r>
        <w:rPr>
          <w:rFonts w:ascii="Georgia" w:cs="Georgia" w:eastAsia="Georgia" w:hAnsi="Georgia"/>
          <w:color w:val="1A1A1A"/>
          <w:sz w:val="22"/>
          <w:szCs w:val="22"/>
        </w:rPr>
        <w:t xml:space="preserve">What this looks like in practice: Man's Search for Meaning names the specific mechanism by which the military institution produces authority-dependent identity and explains why high-performing officers are most vulnerable to it. Meditations identifies stoic equanimity as a specifically relevant discipline for the moment when external rank disappears and the inner standard must substitute for it. Ego Is the Enemy diagnoses the ego not as a moral failure but as a rational response to institutional incentives — and explains why the transition makes that construction visible for the first time.</w:t>
      </w:r>
    </w:p>
    <w:p>
      <w:pPr>
        <w:spacing w:after="160" w:before="80"/>
      </w:pPr>
      <w:r>
        <w:rPr>
          <w:rFonts w:ascii="Georgia" w:cs="Georgia" w:eastAsia="Georgia" w:hAnsi="Georgia"/>
          <w:color w:val="1A1A1A"/>
          <w:sz w:val="22"/>
          <w:szCs w:val="22"/>
        </w:rPr>
        <w:t xml:space="preserve">Each observation adds something the reader cannot get from the book alone. That is the standard.</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2.2  Limitations Are Named Honestly in Book Analysis</w:t>
      </w:r>
    </w:p>
    <w:p>
      <w:pPr>
        <w:spacing w:after="160" w:before="80"/>
      </w:pPr>
      <w:r>
        <w:rPr>
          <w:rFonts w:ascii="Georgia" w:cs="Georgia" w:eastAsia="Georgia" w:hAnsi="Georgia"/>
          <w:color w:val="1A1A1A"/>
          <w:sz w:val="22"/>
          <w:szCs w:val="22"/>
        </w:rPr>
        <w:t xml:space="preserve">Every Gold Standard entry includes an honest statement of where the book falls short for this platform's reader. This is not hedging — it is the most important trust signal the platform offers. An uncritical entry is an untrustworthy entry.</w:t>
      </w:r>
    </w:p>
    <w:p>
      <w:pPr>
        <w:spacing w:after="160" w:before="80"/>
      </w:pPr>
      <w:r>
        <w:rPr>
          <w:rFonts w:ascii="Georgia" w:cs="Georgia" w:eastAsia="Georgia" w:hAnsi="Georgia"/>
          <w:color w:val="1A1A1A"/>
          <w:sz w:val="22"/>
          <w:szCs w:val="22"/>
        </w:rPr>
        <w:t xml:space="preserve">The limitation statement appears in Section 2 (Book Analysis), names the specific gap, and provides a redirect — either toward what the book does do well, or toward where the reader might find the missing piece. It does not apologize for the book. It treats the reader as an experienced leader who can hold complexity.</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2.3  The Opening Hook Puts the Reader Inside Their Own Experience</w:t>
      </w:r>
    </w:p>
    <w:p>
      <w:pPr>
        <w:spacing w:after="160" w:before="80"/>
      </w:pPr>
      <w:r>
        <w:rPr>
          <w:rFonts w:ascii="Georgia" w:cs="Georgia" w:eastAsia="Georgia" w:hAnsi="Georgia"/>
          <w:color w:val="1A1A1A"/>
          <w:sz w:val="22"/>
          <w:szCs w:val="22"/>
        </w:rPr>
        <w:t xml:space="preserve">The two strongest hooks across the Identity Trilogy — Man's Search for Meaning and Ego Is the Enemy — open with an observation the reader will recognize as their own before they recognize it as a description of anyone else. The Man's Search for Meaning hook opens with the reader's own timeline: 'Somewhere between the decision to leave and the day it actually happens, the questions change.' That sentence places the reader inside an experience they are living, not observing.</w:t>
      </w:r>
    </w:p>
    <w:p>
      <w:pPr>
        <w:spacing w:after="160" w:before="80"/>
      </w:pPr>
      <w:r>
        <w:rPr>
          <w:rFonts w:ascii="Georgia" w:cs="Georgia" w:eastAsia="Georgia" w:hAnsi="Georgia"/>
          <w:color w:val="1A1A1A"/>
          <w:sz w:val="22"/>
          <w:szCs w:val="22"/>
        </w:rPr>
        <w:t xml:space="preserve">This is the technical difference between a strong hook and a merely adequate one. A strong hook names the reader's specific experience. An adequate hook makes a general observation about leaders in transition. The Blueprint's requirement that the reader recognize themselves in the first paragraph is doing specific work: it requires the personal, not the descriptive.</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2.4  Cross-Book Connections Offer Synthesis, Not Just Convergence</w:t>
      </w:r>
    </w:p>
    <w:p>
      <w:pPr>
        <w:spacing w:after="160" w:before="80"/>
      </w:pPr>
      <w:r>
        <w:rPr>
          <w:rFonts w:ascii="Georgia" w:cs="Georgia" w:eastAsia="Georgia" w:hAnsi="Georgia"/>
          <w:color w:val="1A1A1A"/>
          <w:sz w:val="22"/>
          <w:szCs w:val="22"/>
        </w:rPr>
        <w:t xml:space="preserve">All twelve Cross-Book Wisdom connections across the Gold Standard entries satisfy the Three-Part Connection Standard: they name the specific idea, explain what each book contributes that the other does not, and offer a synthesis observation about what the convergence reveals. The synthesis observation — the 'so what' of the connection — is what distinguishes a wisdom connection from a thematic observation.</w:t>
      </w:r>
    </w:p>
    <w:p>
      <w:pPr>
        <w:spacing w:after="160" w:before="80"/>
      </w:pPr>
      <w:r>
        <w:rPr>
          <w:rFonts w:ascii="Georgia" w:cs="Georgia" w:eastAsia="Georgia" w:hAnsi="Georgia"/>
          <w:color w:val="1A1A1A"/>
          <w:sz w:val="22"/>
          <w:szCs w:val="22"/>
        </w:rPr>
        <w:t xml:space="preserve">The highest-quality connections include tradition boundary crossings that name the cultural distance explicitly. When Man's Search for Meaning connects to The Analects of Confucius, the connection earns its strength by noting what the distance means: that two traditions separated by geography, century, and cultural context arrived at the same conclusion about interior freedom. That convergence carries evidential weight that a connection between two contemporary Western texts cannot.</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2.5  The Closing Reflection Ends on the Reader's Direction</w:t>
      </w:r>
    </w:p>
    <w:p>
      <w:pPr>
        <w:spacing w:after="160" w:before="80"/>
      </w:pPr>
      <w:r>
        <w:rPr>
          <w:rFonts w:ascii="Georgia" w:cs="Georgia" w:eastAsia="Georgia" w:hAnsi="Georgia"/>
          <w:color w:val="1A1A1A"/>
          <w:sz w:val="22"/>
          <w:szCs w:val="22"/>
        </w:rPr>
        <w:t xml:space="preserve">The best closings across the Gold Standard entries do not end on the book's value — they end on the reader's direction. The Man's Search for Meaning closing loops back to the hook's opening image, creating internal coherence that rewards careful reading. The Meditations closing sends the reader forward without returning to the book's framework.</w:t>
      </w:r>
    </w:p>
    <w:p>
      <w:pPr>
        <w:spacing w:after="160" w:before="80"/>
      </w:pPr>
      <w:r>
        <w:rPr>
          <w:rFonts w:ascii="Georgia" w:cs="Georgia" w:eastAsia="Georgia" w:hAnsi="Georgia"/>
          <w:color w:val="1A1A1A"/>
          <w:sz w:val="22"/>
          <w:szCs w:val="22"/>
        </w:rPr>
        <w:t xml:space="preserve">In both cases, the final sentence is the most carefully calibrated in the entire entry. It delivers perspective, practical wisdom, hope, and humility simultaneously — not as a list, but as a single grounded observation about what comes next. If the closing sounds like a motivational poster, it has failed.</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2.6  Section-Opening Italic Subheads Frame Without Summarizing</w:t>
      </w:r>
    </w:p>
    <w:p>
      <w:pPr>
        <w:spacing w:after="160" w:before="80"/>
      </w:pPr>
      <w:r>
        <w:rPr>
          <w:rFonts w:ascii="Georgia" w:cs="Georgia" w:eastAsia="Georgia" w:hAnsi="Georgia"/>
          <w:color w:val="1A1A1A"/>
          <w:sz w:val="22"/>
          <w:szCs w:val="22"/>
        </w:rPr>
        <w:t xml:space="preserve">Across all three entries and all sections, the italic subhead that opens each section frames the section's intellectual territory without summarizing it. The subhead does not tell the reader what they are about to read — it positions them to receive it. The most effective examples appear in the Leadership Transition Commentary and Cross-Book Wisdom sections, where the framing work is most demanding.</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2.7  Reflection Questions Close With What the Answer Reveals</w:t>
      </w:r>
    </w:p>
    <w:p>
      <w:pPr>
        <w:spacing w:after="160" w:before="80"/>
      </w:pPr>
      <w:r>
        <w:rPr>
          <w:rFonts w:ascii="Georgia" w:cs="Georgia" w:eastAsia="Georgia" w:hAnsi="Georgia"/>
          <w:color w:val="1A1A1A"/>
          <w:sz w:val="22"/>
          <w:szCs w:val="22"/>
        </w:rPr>
        <w:t xml:space="preserve">The strongest reflection questions across the Gold Standard entries do not simply pose a question — they close by asking what the reader's answer reveals about them. This distinction matters because it shifts the question from an intellectual exercise to a diagnostic one. 'What does your answer tell you?' or 'What would you be left with?' turns the question back on the reader's self-knowledge rather than inviting abstract rumination.</w:t>
      </w:r>
    </w:p>
    <w:p>
      <w:pPr>
        <w:spacing w:after="0" w:before="200"/>
      </w:pPr>
      <w:r>
        <w:rPr>
          <w:rFonts w:ascii="Georgia" w:cs="Georgia" w:eastAsia="Georgia" w:hAnsi="Georgia"/>
          <w:color w:val="1A1A1A"/>
          <w:sz w:val="22"/>
          <w:szCs w:val="22"/>
        </w:rPr>
        <w:t xml:space="preserv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3  ·  COMMON MISTAKES TO AVOID</w:t>
      </w:r>
    </w:p>
    <w:p>
      <w:pPr>
        <w:spacing w:after="160" w:before="80"/>
      </w:pPr>
      <w:r>
        <w:rPr>
          <w:rFonts w:ascii="Georgia" w:cs="Georgia" w:eastAsia="Georgia" w:hAnsi="Georgia"/>
          <w:color w:val="1A1A1A"/>
          <w:sz w:val="22"/>
          <w:szCs w:val="22"/>
        </w:rPr>
        <w:t xml:space="preserve">The following patterns were flagged in the Gold Standard Review as failures — either as observed deficiencies in the v2.0 entries requiring correction before designation, or as prohibited patterns that must not appear in any entry. Each is documented here with its source finding.</w:t>
      </w:r>
    </w:p>
    <w:p>
      <w:pPr>
        <w:spacing w:after="0" w:before="8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5D3E0" w:sz="1"/>
              <w:left w:val="single" w:color="C5D3E0" w:sz="1"/>
              <w:bottom w:val="single" w:color="C5D3E0" w:sz="1"/>
              <w:right w:val="single" w:color="C5D3E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Pattern / Mistake</w:t>
            </w:r>
          </w:p>
        </w:tc>
        <w:tc>
          <w:tcPr>
            <w:tcW w:type="dxa" w:w="1800"/>
            <w:tcBorders>
              <w:top w:val="single" w:color="C5D3E0" w:sz="1"/>
              <w:left w:val="single" w:color="C5D3E0" w:sz="1"/>
              <w:bottom w:val="single" w:color="C5D3E0" w:sz="1"/>
              <w:right w:val="single" w:color="C5D3E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Verdict</w:t>
            </w:r>
          </w:p>
        </w:tc>
        <w:tc>
          <w:tcPr>
            <w:tcW w:type="dxa" w:w="3360"/>
            <w:tcBorders>
              <w:top w:val="single" w:color="C5D3E0" w:sz="1"/>
              <w:left w:val="single" w:color="C5D3E0" w:sz="1"/>
              <w:bottom w:val="single" w:color="C5D3E0" w:sz="1"/>
              <w:right w:val="single" w:color="C5D3E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Source &amp; Rationale</w:t>
            </w:r>
          </w:p>
        </w:tc>
      </w:tr>
      <w:tr>
        <w:tc>
          <w:tcPr>
            <w:tcW w:type="dxa" w:w="42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The 'It Is Not X. It Is Y.' three-sentence contrast structure used more than once per section</w:t>
            </w:r>
          </w:p>
        </w:tc>
        <w:tc>
          <w:tcPr>
            <w:tcW w:type="dxa" w:w="18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Gold Standard Review §5.4 — effective when used once, becomes a formula when repeated. Use only when the contrasting pair genuinely carries new information.</w:t>
            </w:r>
          </w:p>
        </w:tc>
      </w:tr>
      <w:tr>
        <w:tc>
          <w:tcPr>
            <w:tcW w:type="dxa" w:w="42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Practical Applications that function as reading instructions ('Read this book in sequence before...')</w:t>
            </w:r>
          </w:p>
        </w:tc>
        <w:tc>
          <w:tcPr>
            <w:tcW w:type="dxa" w:w="18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Blueprint §4 — Applications must begin with an action verb and direct what the reader does NOW, not what they consume next. Consumption directives are not application directives.</w:t>
            </w:r>
          </w:p>
        </w:tc>
      </w:tr>
      <w:tr>
        <w:tc>
          <w:tcPr>
            <w:tcW w:type="dxa" w:w="42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Related Book descriptions exceeding 20 words</w:t>
            </w:r>
          </w:p>
        </w:tc>
        <w:tc>
          <w:tcPr>
            <w:tcW w:type="dxa" w:w="18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Blueprint §8 — Gold Standard violations become permissions for future editors. The 20-word limit is a hard cap, not a guideline.</w:t>
            </w:r>
          </w:p>
        </w:tc>
      </w:tr>
      <w:tr>
        <w:tc>
          <w:tcPr>
            <w:tcW w:type="dxa" w:w="42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Reflection questions with embedded assumptions about the reader's transition stage</w:t>
            </w:r>
          </w:p>
        </w:tc>
        <w:tc>
          <w:tcPr>
            <w:tcW w:type="dxa" w:w="18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Blueprint §5 — Questions must apply whether the reader is active-duty, separating, or already out. Presupposing a team context or established post-transition role excludes part of the audience.</w:t>
            </w:r>
          </w:p>
        </w:tc>
      </w:tr>
      <w:tr>
        <w:tc>
          <w:tcPr>
            <w:tcW w:type="dxa" w:w="42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Closing sentences that announce a benefit ('That clarity is available to you now')</w:t>
            </w:r>
          </w:p>
        </w:tc>
        <w:tc>
          <w:tcPr>
            <w:tcW w:type="dxa" w:w="18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Blueprint §7 / GSR R1 — The closing must deliver a truth, not announce an offering. Ends on the reader's agency, not the platform's service.</w:t>
            </w:r>
          </w:p>
        </w:tc>
      </w:tr>
      <w:tr>
        <w:tc>
          <w:tcPr>
            <w:tcW w:type="dxa" w:w="42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Opening hooks that describe a class of leaders rather than the reader's own experience</w:t>
            </w:r>
          </w:p>
        </w:tc>
        <w:tc>
          <w:tcPr>
            <w:tcW w:type="dxa" w:w="18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Blueprint §1 / GSR §4.3 — 'Most leaders discover...' positions the reader as an observer. The hook must place the reader inside their own timeline.</w:t>
            </w:r>
          </w:p>
        </w:tc>
      </w:tr>
      <w:tr>
        <w:tc>
          <w:tcPr>
            <w:tcW w:type="dxa" w:w="42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Book Analysis written as chapter summary or list of main points</w:t>
            </w:r>
          </w:p>
        </w:tc>
        <w:tc>
          <w:tcPr>
            <w:tcW w:type="dxa" w:w="18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Blueprint §2 — Chapter-by-chapter coverage signals summary rather than analysis. Extract the ideas; do not retrace the structure.</w:t>
            </w:r>
          </w:p>
        </w:tc>
      </w:tr>
      <w:tr>
        <w:tc>
          <w:tcPr>
            <w:tcW w:type="dxa" w:w="42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Closing reflections that summarize the entry or list the book's takeaways</w:t>
            </w:r>
          </w:p>
        </w:tc>
        <w:tc>
          <w:tcPr>
            <w:tcW w:type="dxa" w:w="18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Blueprint §7 — The closing does not repeat the entry. It offers a final thought honest, grounded, and quietly hopeful about what this book offers someone at a significant life threshold.</w:t>
            </w:r>
          </w:p>
        </w:tc>
      </w:tr>
      <w:tr>
        <w:tc>
          <w:tcPr>
            <w:tcW w:type="dxa" w:w="42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Any use of leadership clichés, motivational register, or inspirational language</w:t>
            </w:r>
          </w:p>
        </w:tc>
        <w:tc>
          <w:tcPr>
            <w:tcW w:type="dxa" w:w="180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Voice &amp; Style Guide — No exclamation points, no rhetorical questions without answers, no grand declarations. If a phrase has appeared in a PowerPoint presentation, do not use it here.</w:t>
            </w:r>
          </w:p>
        </w:tc>
      </w:tr>
      <w:tr>
        <w:tc>
          <w:tcPr>
            <w:tcW w:type="dxa" w:w="42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First-person autobiography in any section ('As a naval officer...' / 'When I was in command...')</w:t>
            </w:r>
          </w:p>
        </w:tc>
        <w:tc>
          <w:tcPr>
            <w:tcW w:type="dxa" w:w="180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Arial" w:cs="Arial" w:eastAsia="Arial" w:hAnsi="Arial"/>
                <w:b/>
                <w:bCs/>
                <w:color w:val="8B1A1A"/>
                <w:sz w:val="19"/>
                <w:szCs w:val="19"/>
              </w:rPr>
              <w:t xml:space="preserve">PROHIBIT — Avoid</w:t>
            </w:r>
          </w:p>
        </w:tc>
        <w:tc>
          <w:tcPr>
            <w:tcW w:type="dxa" w:w="336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Blueprint §4B — The voice is shaped by experience, not narrated by it. The perspective shows through what is noticed and emphasized, never through explicit autobiography.</w:t>
            </w:r>
          </w:p>
        </w:tc>
      </w:tr>
    </w:tbl>
    <w:p>
      <w:pPr>
        <w:spacing w:after="0" w:before="200"/>
      </w:pPr>
      <w:r>
        <w:rPr>
          <w:rFonts w:ascii="Georgia" w:cs="Georgia" w:eastAsia="Georgia" w:hAnsi="Georgia"/>
          <w:color w:val="1A1A1A"/>
          <w:sz w:val="22"/>
          <w:szCs w:val="22"/>
        </w:rPr>
        <w:t xml:space="preserv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4  ·  PREFERRED REFLECTION STYLE</w:t>
      </w:r>
    </w:p>
    <w:p>
      <w:pPr>
        <w:spacing w:after="160" w:before="80"/>
      </w:pPr>
      <w:r>
        <w:rPr>
          <w:rFonts w:ascii="Georgia" w:cs="Georgia" w:eastAsia="Georgia" w:hAnsi="Georgia"/>
          <w:color w:val="1A1A1A"/>
          <w:sz w:val="22"/>
          <w:szCs w:val="22"/>
        </w:rPr>
        <w:t xml:space="preserve">Reflection Questions (Section 5 of every entry) are the section most likely to be written at too low a level of specificity. The Gold Standard entries model a distinctive approach that sets a high bar.</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4.1  The Four-Question Architecture</w:t>
      </w:r>
    </w:p>
    <w:p>
      <w:pPr>
        <w:spacing w:after="160" w:before="80"/>
      </w:pPr>
      <w:r>
        <w:rPr>
          <w:rFonts w:ascii="Georgia" w:cs="Georgia" w:eastAsia="Georgia" w:hAnsi="Georgia"/>
          <w:color w:val="1A1A1A"/>
          <w:sz w:val="22"/>
          <w:szCs w:val="22"/>
        </w:rPr>
        <w:t xml:space="preserve">Every entry requires exactly four questions covering four required territories: leadership identity and self-awareness; the transition experience; purpose, legacy, or what comes next; and the book's specific ideas applied to the reader's situation. No question may be omitted. No territory may be doubled. The four questions work together, but each must stand alone — it should not require the others to be meaningful.</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4.2  The Diagnostic Posture</w:t>
      </w:r>
    </w:p>
    <w:p>
      <w:pPr>
        <w:spacing w:after="160" w:before="80"/>
      </w:pPr>
      <w:r>
        <w:rPr>
          <w:rFonts w:ascii="Georgia" w:cs="Georgia" w:eastAsia="Georgia" w:hAnsi="Georgia"/>
          <w:color w:val="1A1A1A"/>
          <w:sz w:val="22"/>
          <w:szCs w:val="22"/>
        </w:rPr>
        <w:t xml:space="preserve">Strong reflection questions do not simply open a topic — they create productive discomfort by asking the reader to see themselves honestly. The preferred approach closes each question by turning it into a diagnostic: 'What does your answer reveal?' or 'What would you be left with?' This shift moves the question from abstract to personal, from intellectual to self-examining.</w:t>
      </w:r>
    </w:p>
    <w:p>
      <w:pPr>
        <w:spacing w:after="160" w:before="80"/>
      </w:pPr>
      <w:r>
        <w:rPr>
          <w:rFonts w:ascii="Georgia" w:cs="Georgia" w:eastAsia="Georgia" w:hAnsi="Georgia"/>
          <w:color w:val="1A1A1A"/>
          <w:sz w:val="22"/>
          <w:szCs w:val="22"/>
        </w:rPr>
        <w:t xml:space="preserve">The Blueprint specifies that good questions 'create productive discomfort' and ask the reader to 'consider something they may have avoided.' The discomfort should be earned — it should come from the precision of the question, not from its provocation.</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4.3  Stage-Neutral Language</w:t>
      </w:r>
    </w:p>
    <w:p>
      <w:pPr>
        <w:spacing w:after="160" w:before="80"/>
      </w:pPr>
      <w:r>
        <w:rPr>
          <w:rFonts w:ascii="Georgia" w:cs="Georgia" w:eastAsia="Georgia" w:hAnsi="Georgia"/>
          <w:color w:val="1A1A1A"/>
          <w:sz w:val="22"/>
          <w:szCs w:val="22"/>
        </w:rPr>
        <w:t xml:space="preserve">Every reflection question must apply to the full range of readers the platform serves: those still active-duty, those in the process of separating, and those already on the other side. Questions that presuppose a specific transition stage — 'As you prepare to leave the military...' or 'Now that you are in a civilian role...' — exclude part of the audience and signal that the writer made an assumption about who they were addressing.</w:t>
      </w:r>
    </w:p>
    <w:p>
      <w:pPr>
        <w:spacing w:after="160" w:before="80"/>
      </w:pPr>
      <w:r>
        <w:rPr>
          <w:rFonts w:ascii="Georgia" w:cs="Georgia" w:eastAsia="Georgia" w:hAnsi="Georgia"/>
          <w:color w:val="1A1A1A"/>
          <w:sz w:val="22"/>
          <w:szCs w:val="22"/>
        </w:rPr>
        <w:t xml:space="preserve">The test: if the question only makes sense for someone who is already out, it fails. Rewrite it so it applies equally to the person making the decision and the person five years past it.</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4.4  Specificity Without Narrowness</w:t>
      </w:r>
    </w:p>
    <w:p>
      <w:pPr>
        <w:spacing w:after="160" w:before="80"/>
      </w:pPr>
      <w:r>
        <w:rPr>
          <w:rFonts w:ascii="Georgia" w:cs="Georgia" w:eastAsia="Georgia" w:hAnsi="Georgia"/>
          <w:color w:val="1A1A1A"/>
          <w:sz w:val="22"/>
          <w:szCs w:val="22"/>
        </w:rPr>
        <w:t xml:space="preserve">The Identity question (Question 1) should name specific aspects of leadership identity — not just 'how do you see yourself as a leader' but a targeted version of that question anchored to the book's specific framework. The Question 4 (book-specific application) is the most technically demanding: it must connect the entry book's ideas to the reader's situation precisely enough to be useful but broadly enough to apply across the range of transition experiences.</w:t>
      </w:r>
    </w:p>
    <w:p>
      <w:pPr>
        <w:spacing w:after="0" w:before="8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thick" w:color="B8962E" w:sz="24"/>
              <w:bottom w:val="single" w:color="1B2A4A" w:sz="12"/>
              <w:right w:val="none" w:color="FFFFFF" w:sz="0"/>
            </w:tcBorders>
            <w:shd w:fill="EAF2F8" w:val="clear"/>
            <w:tcMar>
              <w:top w:type="dxa" w:w="160"/>
              <w:left w:type="dxa" w:w="240"/>
              <w:bottom w:type="dxa" w:w="160"/>
              <w:right w:type="dxa" w:w="240"/>
            </w:tcMar>
          </w:tcPr>
          <w:p>
            <w:pPr>
              <w:spacing w:after="0" w:before="0"/>
            </w:pPr>
            <w:r>
              <w:rPr>
                <w:rFonts w:ascii="Georgia" w:cs="Georgia" w:eastAsia="Georgia" w:hAnsi="Georgia"/>
                <w:i/>
                <w:iCs/>
                <w:color w:val="1B2A4A"/>
                <w:sz w:val="22"/>
                <w:szCs w:val="22"/>
              </w:rPr>
              <w:t xml:space="preserve">Test every reflection question against this standard: Is it specific enough to create productive discomfort? Is it broad enough to apply to a reader at any transition stage? Does it ask what the answer reveals, not just what the reader thinks?</w:t>
            </w:r>
          </w:p>
        </w:tc>
      </w:tr>
    </w:tbl>
    <w:p>
      <w:pPr>
        <w:spacing w:after="0" w:before="200"/>
      </w:pPr>
      <w:r>
        <w:rPr>
          <w:rFonts w:ascii="Georgia" w:cs="Georgia" w:eastAsia="Georgia" w:hAnsi="Georgia"/>
          <w:color w:val="1A1A1A"/>
          <w:sz w:val="22"/>
          <w:szCs w:val="22"/>
        </w:rPr>
        <w:t xml:space="preserv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5  ·  PREFERRED TRANSITION COMMENTARY STYLE</w:t>
      </w:r>
    </w:p>
    <w:p>
      <w:pPr>
        <w:spacing w:after="160" w:before="80"/>
      </w:pPr>
      <w:r>
        <w:rPr>
          <w:rFonts w:ascii="Georgia" w:cs="Georgia" w:eastAsia="Georgia" w:hAnsi="Georgia"/>
          <w:color w:val="1A1A1A"/>
          <w:sz w:val="22"/>
          <w:szCs w:val="22"/>
        </w:rPr>
        <w:t xml:space="preserve">The Leadership Transition Commentary (Section 3) is the platform's voice at full extension. It is the section that most clearly differentiates Leadership Through Transition from a book summary service. All three Gold Standard entries score Strong on this section, and the patterns that produced those scores are specific enough to replicate.</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5.1  The Military-Specific Mechanism</w:t>
      </w:r>
    </w:p>
    <w:p>
      <w:pPr>
        <w:spacing w:after="160" w:before="80"/>
      </w:pPr>
      <w:r>
        <w:rPr>
          <w:rFonts w:ascii="Georgia" w:cs="Georgia" w:eastAsia="Georgia" w:hAnsi="Georgia"/>
          <w:color w:val="1A1A1A"/>
          <w:sz w:val="22"/>
          <w:szCs w:val="22"/>
        </w:rPr>
        <w:t xml:space="preserve">Every Gold Standard Commentary contains at least one observation that names a failure mode specifically rooted in military experience before explaining it. This is not color — it is the section's primary intellectual claim. The observation must be structural: not 'military leaders often struggle with identity' but 'the military institution produces authority-dependent identity in a specific way, and high performers are most vulnerable to it because the system rewarded them without requiring self-knowledge.'</w:t>
      </w:r>
    </w:p>
    <w:p>
      <w:pPr>
        <w:spacing w:after="160" w:before="80"/>
      </w:pPr>
      <w:r>
        <w:rPr>
          <w:rFonts w:ascii="Georgia" w:cs="Georgia" w:eastAsia="Georgia" w:hAnsi="Georgia"/>
          <w:color w:val="1A1A1A"/>
          <w:sz w:val="22"/>
          <w:szCs w:val="22"/>
        </w:rPr>
        <w:t xml:space="preserve">The test for whether an observation is genuinely military-specific: could this observation have been written by someone who studies corporate executive transition? If yes, it is not military-specific enough. The Commentary earns its authority from the precision of the institutional diagnosis.</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5.2  Application, Not Restatement</w:t>
      </w:r>
    </w:p>
    <w:p>
      <w:pPr>
        <w:spacing w:after="160" w:before="80"/>
      </w:pPr>
      <w:r>
        <w:rPr>
          <w:rFonts w:ascii="Georgia" w:cs="Georgia" w:eastAsia="Georgia" w:hAnsi="Georgia"/>
          <w:color w:val="1A1A1A"/>
          <w:sz w:val="22"/>
          <w:szCs w:val="22"/>
        </w:rPr>
        <w:t xml:space="preserve">The Commentary does not restate the book's framework — it applies it. The distinction is precise: restatement tells the reader what the book says; application tells the reader what the book's framework means for someone in their specific situation. The Gold Standard entries consistently add something the reader cannot get from the book alone — an observation, a connection, a complication that the author could not have known because they were not writing for this reader.</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5.3  The Honest Limitation in the Final Paragraph</w:t>
      </w:r>
    </w:p>
    <w:p>
      <w:pPr>
        <w:spacing w:after="160" w:before="80"/>
      </w:pPr>
      <w:r>
        <w:rPr>
          <w:rFonts w:ascii="Georgia" w:cs="Georgia" w:eastAsia="Georgia" w:hAnsi="Georgia"/>
          <w:color w:val="1A1A1A"/>
          <w:sz w:val="22"/>
          <w:szCs w:val="22"/>
        </w:rPr>
        <w:t xml:space="preserve">Every Gold Standard Commentary ends with an honest acknowledgment of what the book cannot do for this reader. This is the Commentary's most important trust signal. The limitation is specific (not 'this book doesn't cover everything') and is accompanied by a redirect — either toward what the book does exceptionally well, or toward where the reader might find the missing piece.</w:t>
      </w:r>
    </w:p>
    <w:p>
      <w:pPr>
        <w:spacing w:after="160" w:before="80"/>
      </w:pPr>
      <w:r>
        <w:rPr>
          <w:rFonts w:ascii="Georgia" w:cs="Georgia" w:eastAsia="Georgia" w:hAnsi="Georgia"/>
          <w:color w:val="1A1A1A"/>
          <w:sz w:val="22"/>
          <w:szCs w:val="22"/>
        </w:rPr>
        <w:t xml:space="preserve">The limitation paragraph does not undercut the entry. It strengthens it by demonstrating that the platform's posture is honest analysis, not promotion. The reader is an experienced leader. They will recognize false enthusiasm. They trust precision.</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5.4  Difficulty Without Catastrophe</w:t>
      </w:r>
    </w:p>
    <w:p>
      <w:pPr>
        <w:spacing w:after="160" w:before="80"/>
      </w:pPr>
      <w:r>
        <w:rPr>
          <w:rFonts w:ascii="Georgia" w:cs="Georgia" w:eastAsia="Georgia" w:hAnsi="Georgia"/>
          <w:color w:val="1A1A1A"/>
          <w:sz w:val="22"/>
          <w:szCs w:val="22"/>
        </w:rPr>
        <w:t xml:space="preserve">The Commentary acknowledges that the transition is hard. It says so directly and without minimizing. But it does not catastrophize, and it does not wallow. The preferred register moves forward: here is the difficulty, here is what this framework offers for it, here is what the reader can do. The final paragraph of the Commentary is directional — it moves toward application, not away from it.</w:t>
      </w:r>
    </w:p>
    <w:p>
      <w:pPr>
        <w:spacing w:after="0" w:before="8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thick" w:color="B8962E" w:sz="24"/>
              <w:bottom w:val="single" w:color="1B2A4A" w:sz="12"/>
              <w:right w:val="none" w:color="FFFFFF" w:sz="0"/>
            </w:tcBorders>
            <w:shd w:fill="EAF2F8" w:val="clear"/>
            <w:tcMar>
              <w:top w:type="dxa" w:w="160"/>
              <w:left w:type="dxa" w:w="240"/>
              <w:bottom w:type="dxa" w:w="160"/>
              <w:right w:type="dxa" w:w="240"/>
            </w:tcMar>
          </w:tcPr>
          <w:p>
            <w:pPr>
              <w:spacing w:after="0" w:before="0"/>
            </w:pPr>
            <w:r>
              <w:rPr>
                <w:rFonts w:ascii="Georgia" w:cs="Georgia" w:eastAsia="Georgia" w:hAnsi="Georgia"/>
                <w:i/>
                <w:iCs/>
                <w:color w:val="1B2A4A"/>
                <w:sz w:val="22"/>
                <w:szCs w:val="22"/>
              </w:rPr>
              <w:t xml:space="preserve">The tone the Commentary is reaching for: 'Here is what experience has taught me, and why it might matter as you prepare for your next chapter.' Not instruction. Not inspiration. Earned perspective, offered honestly.</w:t>
            </w:r>
          </w:p>
        </w:tc>
      </w:tr>
    </w:tbl>
    <w:p>
      <w:pPr>
        <w:spacing w:after="0" w:before="200"/>
      </w:pPr>
      <w:r>
        <w:rPr>
          <w:rFonts w:ascii="Georgia" w:cs="Georgia" w:eastAsia="Georgia" w:hAnsi="Georgia"/>
          <w:color w:val="1A1A1A"/>
          <w:sz w:val="22"/>
          <w:szCs w:val="22"/>
        </w:rPr>
        <w:t xml:space="preserv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6  ·  PREFERRED CROSS-BOOK WISDOM STYLE</w:t>
      </w:r>
    </w:p>
    <w:p>
      <w:pPr>
        <w:spacing w:after="160" w:before="80"/>
      </w:pPr>
      <w:r>
        <w:rPr>
          <w:rFonts w:ascii="Georgia" w:cs="Georgia" w:eastAsia="Georgia" w:hAnsi="Georgia"/>
          <w:color w:val="1A1A1A"/>
          <w:sz w:val="22"/>
          <w:szCs w:val="22"/>
        </w:rPr>
        <w:t xml:space="preserve">The Cross-Book Wisdom Connections (Section 6) are the platform's most differentiating feature and technically the most demanding section to write well. All twelve connections across the Gold Standard entries receive Strong ratings on quality. What those connections do consistently is specific enough to replicate.</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6.1  The Three-Part Standard (Non-Negotiable)</w:t>
      </w:r>
    </w:p>
    <w:p>
      <w:pPr>
        <w:spacing w:after="160" w:before="80"/>
      </w:pPr>
      <w:r>
        <w:rPr>
          <w:rFonts w:ascii="Georgia" w:cs="Georgia" w:eastAsia="Georgia" w:hAnsi="Georgia"/>
          <w:color w:val="1A1A1A"/>
          <w:sz w:val="22"/>
          <w:szCs w:val="22"/>
        </w:rPr>
        <w:t xml:space="preserve">Every wisdom connection must satisfy all three parts: name the specific idea that connects the books (not a general theme), explain what each book contributes that the other does not, and offer a synthesis observation about what the convergence reveals. The synthesis observation is what separates a wisdom connection from a thematic observation.</w:t>
      </w:r>
    </w:p>
    <w:p>
      <w:pPr>
        <w:spacing w:after="160" w:before="80"/>
      </w:pPr>
      <w:r>
        <w:rPr>
          <w:rFonts w:ascii="Georgia" w:cs="Georgia" w:eastAsia="Georgia" w:hAnsi="Georgia"/>
          <w:color w:val="1A1A1A"/>
          <w:sz w:val="22"/>
          <w:szCs w:val="22"/>
        </w:rPr>
        <w:t xml:space="preserve">The synthesis observation answers: why does it matter that these two books — separated by tradition, era, or genre — arrived at the same place? What does that convergence prove? What does it allow the reader to trust that they could not trust from a single source?</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6.2  Tradition Boundary Crossings</w:t>
      </w:r>
    </w:p>
    <w:p>
      <w:pPr>
        <w:spacing w:after="160" w:before="80"/>
      </w:pPr>
      <w:r>
        <w:rPr>
          <w:rFonts w:ascii="Georgia" w:cs="Georgia" w:eastAsia="Georgia" w:hAnsi="Georgia"/>
          <w:color w:val="1A1A1A"/>
          <w:sz w:val="22"/>
          <w:szCs w:val="22"/>
        </w:rPr>
        <w:t xml:space="preserve">Every entry must include at least one connection that crosses a cultural or temporal tradition boundary, and that crossing must be named explicitly. The distance is not decorative — it is evidential. The convergence of a Roman Stoic and a Holocaust survivor on the subject of interior freedom carries weight precisely because they arrive from such different positions. Name the distance. Then explain what the convergence means.</w:t>
      </w:r>
    </w:p>
    <w:p>
      <w:pPr>
        <w:spacing w:after="160" w:before="80"/>
      </w:pPr>
      <w:r>
        <w:rPr>
          <w:rFonts w:ascii="Georgia" w:cs="Georgia" w:eastAsia="Georgia" w:hAnsi="Georgia"/>
          <w:color w:val="1A1A1A"/>
          <w:sz w:val="22"/>
          <w:szCs w:val="22"/>
        </w:rPr>
        <w:t xml:space="preserve">The Gold Standard entries include connections that cross from Western philosophy to Eastern wisdom, from ancient sources to modern organizational research, from military philosophy to business strategy. Each crossing names what separates the two traditions before explaining what connects them.</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6.3  Introductory Paragraphs That Frame the Section</w:t>
      </w:r>
    </w:p>
    <w:p>
      <w:pPr>
        <w:spacing w:after="160" w:before="80"/>
      </w:pPr>
      <w:r>
        <w:rPr>
          <w:rFonts w:ascii="Georgia" w:cs="Georgia" w:eastAsia="Georgia" w:hAnsi="Georgia"/>
          <w:color w:val="1A1A1A"/>
          <w:sz w:val="22"/>
          <w:szCs w:val="22"/>
        </w:rPr>
        <w:t xml:space="preserve">All three Gold Standard entries open the Cross-Book Wisdom section with a brief introductory paragraph that frames the section's intellectual position — not a preamble, but a claim. This paragraph tells the reader what kind of convergence they are about to encounter and why it matters for this particular book's place in the library. It is one of the most effective techniques in the Gold Standard entries and should be encoded as standard practice.</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6.4  Voice Standard for Connections</w:t>
      </w:r>
    </w:p>
    <w:p>
      <w:pPr>
        <w:spacing w:after="160" w:before="80"/>
      </w:pPr>
      <w:r>
        <w:rPr>
          <w:rFonts w:ascii="Georgia" w:cs="Georgia" w:eastAsia="Georgia" w:hAnsi="Georgia"/>
          <w:color w:val="1A1A1A"/>
          <w:sz w:val="22"/>
          <w:szCs w:val="22"/>
        </w:rPr>
        <w:t xml:space="preserve">Cross-book connections are written in the platform's voice — the experienced leader sitting across from a peer, offering what they have learned from following a thread through the library. They are not academic (no literature-survey register), not promotional (no 'you absolutely must read this book'), and not motivational (no inspirational framing of what convergence 'proves about humanity').</w:t>
      </w:r>
    </w:p>
    <w:p>
      <w:pPr>
        <w:spacing w:after="160" w:before="80"/>
      </w:pPr>
      <w:r>
        <w:rPr>
          <w:rFonts w:ascii="Georgia" w:cs="Georgia" w:eastAsia="Georgia" w:hAnsi="Georgia"/>
          <w:color w:val="1A1A1A"/>
          <w:sz w:val="22"/>
          <w:szCs w:val="22"/>
        </w:rPr>
        <w:t xml:space="preserve">The connection reads as a single coherent argument in prose paragraphs. No bullet points, no headers within the connection. Each connection runs 75–150 words — long enough to satisfy the three-part standard, short enough to remain readable within the section's overall flow.</w:t>
      </w:r>
    </w:p>
    <w:p>
      <w:pPr>
        <w:spacing w:after="0" w:before="8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thick" w:color="B8962E" w:sz="24"/>
              <w:bottom w:val="single" w:color="1B2A4A" w:sz="12"/>
              <w:right w:val="none" w:color="FFFFFF" w:sz="0"/>
            </w:tcBorders>
            <w:shd w:fill="EAF2F8" w:val="clear"/>
            <w:tcMar>
              <w:top w:type="dxa" w:w="160"/>
              <w:left w:type="dxa" w:w="240"/>
              <w:bottom w:type="dxa" w:w="160"/>
              <w:right w:type="dxa" w:w="240"/>
            </w:tcMar>
          </w:tcPr>
          <w:p>
            <w:pPr>
              <w:spacing w:after="0" w:before="0"/>
            </w:pPr>
            <w:r>
              <w:rPr>
                <w:rFonts w:ascii="Georgia" w:cs="Georgia" w:eastAsia="Georgia" w:hAnsi="Georgia"/>
                <w:i/>
                <w:iCs/>
                <w:color w:val="1B2A4A"/>
                <w:sz w:val="22"/>
                <w:szCs w:val="22"/>
              </w:rPr>
              <w:t xml:space="preserve">The ultimate standard for a Cross-Book connection: a reader who has not read one of the connected books finishes reading the connection and knows, with genuine conviction, why they need to. Not because the platform told them to — because the connection showed them something they wanted to understand more deeply.</w:t>
            </w:r>
          </w:p>
        </w:tc>
      </w:tr>
    </w:tbl>
    <w:p>
      <w:pPr>
        <w:spacing w:after="0" w:before="200"/>
      </w:pPr>
      <w:r>
        <w:rPr>
          <w:rFonts w:ascii="Georgia" w:cs="Georgia" w:eastAsia="Georgia" w:hAnsi="Georgia"/>
          <w:color w:val="1A1A1A"/>
          <w:sz w:val="22"/>
          <w:szCs w:val="22"/>
        </w:rPr>
        <w:t xml:space="preserv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7  ·  PREFERRED CLOSING REFLECTION STYLE</w:t>
      </w:r>
    </w:p>
    <w:p>
      <w:pPr>
        <w:spacing w:after="160" w:before="80"/>
      </w:pPr>
      <w:r>
        <w:rPr>
          <w:rFonts w:ascii="Georgia" w:cs="Georgia" w:eastAsia="Georgia" w:hAnsi="Georgia"/>
          <w:color w:val="1A1A1A"/>
          <w:sz w:val="22"/>
          <w:szCs w:val="22"/>
        </w:rPr>
        <w:t xml:space="preserve">The Closing Reflection (Section 7) may be the most carefully written section in the entire entry. It is where the reader's final impression of the platform is made. The Gold Standard entries demonstrate a specific approach that should be studied and replicated.</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7.1  The Four Required Elements</w:t>
      </w:r>
    </w:p>
    <w:p>
      <w:pPr>
        <w:spacing w:after="160" w:before="80"/>
      </w:pPr>
      <w:r>
        <w:rPr>
          <w:rFonts w:ascii="Georgia" w:cs="Georgia" w:eastAsia="Georgia" w:hAnsi="Georgia"/>
          <w:color w:val="1A1A1A"/>
          <w:sz w:val="22"/>
          <w:szCs w:val="22"/>
        </w:rPr>
        <w:t xml:space="preserve">Every closing must deliver all four elements: perspective (a broader view of what this book's wisdom means in the arc of a leader's life), practical wisdom (one final, concrete thought the reader can carry forward), hope (genuine optimism about what comes next, earned by acknowledging what is difficult), and humility (the acknowledgment that this book and this entry are not the complete answer). These are not checklist items — they should appear as a unified, flowing close, not as four separate points.</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7.2  The Motivational Poster Test</w:t>
      </w:r>
    </w:p>
    <w:p>
      <w:pPr>
        <w:spacing w:after="160" w:before="80"/>
      </w:pPr>
      <w:r>
        <w:rPr>
          <w:rFonts w:ascii="Georgia" w:cs="Georgia" w:eastAsia="Georgia" w:hAnsi="Georgia"/>
          <w:color w:val="1A1A1A"/>
          <w:sz w:val="22"/>
          <w:szCs w:val="22"/>
        </w:rPr>
        <w:t xml:space="preserve">Read the closing aloud. If it sounds like a motivational poster, rewrite it. This is not a metaphor — it is a diagnostic. Any closing sentence that makes a promise, announces a benefit, or uses the language of inspiration ('this is your moment,' 'the work begins now,' 'clarity is available to you') has failed the test. The Gold Standard's one required revision before designation was the Ego Is the Enemy closing sentence: 'That clarity is available to you now' was rejected and replaced with a grounded, reader-directed observation that ended on agency, not offering.</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7.3  End on the Reader's Direction, Not the Book's Value</w:t>
      </w:r>
    </w:p>
    <w:p>
      <w:pPr>
        <w:spacing w:after="160" w:before="80"/>
      </w:pPr>
      <w:r>
        <w:rPr>
          <w:rFonts w:ascii="Georgia" w:cs="Georgia" w:eastAsia="Georgia" w:hAnsi="Georgia"/>
          <w:color w:val="1A1A1A"/>
          <w:sz w:val="22"/>
          <w:szCs w:val="22"/>
        </w:rPr>
        <w:t xml:space="preserve">The closing's final sentence should point forward — toward the reader's next chapter, their agency, the work ahead. It should not reassert the book's importance or the platform's recommendation. The Man's Search for Meaning closing loops back to the hook's opening image, creating a satisfying internal coherence. The Meditations closing sends the reader forward with a directional observation. Both end on what the reader does next, not on what the platform has offered them.</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7.4  Length and Density</w:t>
      </w:r>
    </w:p>
    <w:p>
      <w:pPr>
        <w:spacing w:after="160" w:before="80"/>
      </w:pPr>
      <w:r>
        <w:rPr>
          <w:rFonts w:ascii="Georgia" w:cs="Georgia" w:eastAsia="Georgia" w:hAnsi="Georgia"/>
          <w:color w:val="1A1A1A"/>
          <w:sz w:val="22"/>
          <w:szCs w:val="22"/>
        </w:rPr>
        <w:t xml:space="preserve">The closing runs 100–175 words across two to three paragraphs. It is not the longest section, but it may be the densest — every sentence must carry weight. Short paragraphs are not a weakness here. A single powerful sentence can carry a paragraph in the closing reflection. Do not pad it. Do not repeat the entry's key points. The reader has just spent significant time with the full entry. They do not need a summary. They need a send-off.</w:t>
      </w:r>
    </w:p>
    <w:p>
      <w:pPr>
        <w:spacing w:after="0" w:before="8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thick" w:color="B8962E" w:sz="24"/>
              <w:bottom w:val="single" w:color="1B2A4A" w:sz="12"/>
              <w:right w:val="none" w:color="FFFFFF" w:sz="0"/>
            </w:tcBorders>
            <w:shd w:fill="EAF2F8" w:val="clear"/>
            <w:tcMar>
              <w:top w:type="dxa" w:w="160"/>
              <w:left w:type="dxa" w:w="240"/>
              <w:bottom w:type="dxa" w:w="160"/>
              <w:right w:type="dxa" w:w="240"/>
            </w:tcMar>
          </w:tcPr>
          <w:p>
            <w:pPr>
              <w:spacing w:after="0" w:before="0"/>
            </w:pPr>
            <w:r>
              <w:rPr>
                <w:rFonts w:ascii="Georgia" w:cs="Georgia" w:eastAsia="Georgia" w:hAnsi="Georgia"/>
                <w:i/>
                <w:iCs/>
                <w:color w:val="1B2A4A"/>
                <w:sz w:val="22"/>
                <w:szCs w:val="22"/>
              </w:rPr>
              <w:t xml:space="preserve">The tone the closing is reaching for: an experienced person speaking honestly to someone they respect, at the end of a real conversation. Not the end of a presentation. The end of a conversation.</w:t>
            </w:r>
          </w:p>
        </w:tc>
      </w:tr>
    </w:tbl>
    <w:p>
      <w:pPr>
        <w:spacing w:after="0" w:before="200"/>
      </w:pPr>
      <w:r>
        <w:rPr>
          <w:rFonts w:ascii="Georgia" w:cs="Georgia" w:eastAsia="Georgia" w:hAnsi="Georgia"/>
          <w:color w:val="1A1A1A"/>
          <w:sz w:val="22"/>
          <w:szCs w:val="22"/>
        </w:rPr>
        <w:t xml:space="preserv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8  ·  VOICE CALIBRATION GUIDANCE</w:t>
      </w:r>
    </w:p>
    <w:p>
      <w:pPr>
        <w:spacing w:after="160" w:before="80"/>
      </w:pPr>
      <w:r>
        <w:rPr>
          <w:rFonts w:ascii="Georgia" w:cs="Georgia" w:eastAsia="Georgia" w:hAnsi="Georgia"/>
          <w:color w:val="1A1A1A"/>
          <w:sz w:val="22"/>
          <w:szCs w:val="22"/>
        </w:rPr>
        <w:t xml:space="preserve">Voice consistency is the greatest editorial risk as the library scales. Book 1 and Book 40 must feel as though they were written by the same experienced leader. The following guidance is drawn from the Voice &amp; Style Guide and the specific voice findings of the Gold Standard Review.</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8.1  What the Voice Is</w:t>
      </w:r>
    </w:p>
    <w:p>
      <w:pPr>
        <w:spacing w:after="160" w:before="80"/>
      </w:pPr>
      <w:r>
        <w:rPr>
          <w:rFonts w:ascii="Georgia" w:cs="Georgia" w:eastAsia="Georgia" w:hAnsi="Georgia"/>
          <w:color w:val="1A1A1A"/>
          <w:sz w:val="22"/>
          <w:szCs w:val="22"/>
        </w:rPr>
        <w:t xml:space="preserve">The platform voice is a naval officer with decades of experience, significant reading, and genuine humility — someone who has carried real responsibility, navigated genuine uncertainty, and led actual people through difficult circumstances. This perspective shapes what is noticed, what is emphasized, and what is left unsaid. It is never stated explicitly. Never write 'as a naval officer' or 'in my experience.' Let the lens show without naming it.</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8.2  The Desired Reader Experience</w:t>
      </w:r>
    </w:p>
    <w:p>
      <w:pPr>
        <w:spacing w:after="160" w:before="80"/>
      </w:pPr>
      <w:r>
        <w:rPr>
          <w:rFonts w:ascii="Georgia" w:cs="Georgia" w:eastAsia="Georgia" w:hAnsi="Georgia"/>
          <w:color w:val="1A1A1A"/>
          <w:sz w:val="22"/>
          <w:szCs w:val="22"/>
        </w:rPr>
        <w:t xml:space="preserve">Every entry should feel like a conversation between two experienced leaders sitting across from one another after a long career discussing leadership, purpose, and what comes next. Readers should feel understood rather than instructed. The test is not whether the entry is informative — it is whether the reader feels that whoever wrote it has been where they are.</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8.3  Calibration Table</w:t>
      </w:r>
    </w:p>
    <w:p>
      <w:pPr>
        <w:spacing w:after="0" w:before="8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INCREASE</w:t>
            </w:r>
          </w:p>
        </w:tc>
        <w:tc>
          <w:tcPr>
            <w:tcW w:type="dxa" w:w="65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Reflection · Curiosity · Practical observations · Human stories · Leadership applications · Transition lessons · Nuance</w:t>
            </w:r>
          </w:p>
        </w:tc>
      </w:tr>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DECREASE</w:t>
            </w:r>
          </w:p>
        </w:tc>
        <w:tc>
          <w:tcPr>
            <w:tcW w:type="dxa" w:w="656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Grand declarations · Hero narratives · Inspirational speeches · Overconfidence · Excessive certainty</w:t>
            </w:r>
          </w:p>
        </w:tc>
      </w:tr>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ALWAYS USE</w:t>
            </w:r>
          </w:p>
        </w:tc>
        <w:tc>
          <w:tcPr>
            <w:tcW w:type="dxa" w:w="65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Second person ('you') in Sections 3 and 5 · Third person in Section 2 (Book Analysis) · 'We' only for genuinely shared experiences</w:t>
            </w:r>
          </w:p>
        </w:tc>
      </w:tr>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NEVER USE</w:t>
            </w:r>
          </w:p>
        </w:tc>
        <w:tc>
          <w:tcPr>
            <w:tcW w:type="dxa" w:w="6560"/>
            <w:tcBorders>
              <w:top w:val="single" w:color="C5D3E0" w:sz="1"/>
              <w:left w:val="single" w:color="C5D3E0" w:sz="1"/>
              <w:bottom w:val="single" w:color="C5D3E0" w:sz="1"/>
              <w:right w:val="single" w:color="C5D3E0" w:sz="1"/>
            </w:tcBorders>
            <w:shd w:fill="EAF2F8"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Leadership clichés · Corporate jargon · Inspirational register · Exclamation points · Rhetorical questions without answers · First-person autobiography</w:t>
            </w:r>
          </w:p>
        </w:tc>
      </w:tr>
      <w:tr>
        <w:tc>
          <w:tcPr>
            <w:tcW w:type="dxa" w:w="2800"/>
            <w:tcBorders>
              <w:top w:val="single" w:color="C5D3E0" w:sz="1"/>
              <w:left w:val="single" w:color="C5D3E0" w:sz="1"/>
              <w:bottom w:val="single" w:color="C5D3E0" w:sz="1"/>
              <w:right w:val="single" w:color="C5D3E0" w:sz="1"/>
            </w:tcBorders>
            <w:shd w:fill="D6E4F0" w:val="clear"/>
            <w:tcMar>
              <w:top w:type="dxa" w:w="100"/>
              <w:left w:type="dxa" w:w="140"/>
              <w:bottom w:type="dxa" w:w="100"/>
              <w:right w:type="dxa" w:w="140"/>
            </w:tcMar>
          </w:tcPr>
          <w:p>
            <w:pPr>
              <w:spacing w:after="0" w:before="0"/>
            </w:pPr>
            <w:r>
              <w:rPr>
                <w:rFonts w:ascii="Arial" w:cs="Arial" w:eastAsia="Arial" w:hAnsi="Arial"/>
                <w:b/>
                <w:bCs/>
                <w:color w:val="1B2A4A"/>
                <w:sz w:val="20"/>
                <w:szCs w:val="20"/>
              </w:rPr>
              <w:t xml:space="preserve">TONE TEST</w:t>
            </w:r>
          </w:p>
        </w:tc>
        <w:tc>
          <w:tcPr>
            <w:tcW w:type="dxa" w:w="656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2"/>
                <w:szCs w:val="22"/>
              </w:rPr>
              <w:t xml:space="preserve">Would this sentence work as a sentence spoken across a table? If it sounds like a slide deck, a press release, or a motivational speech, rewrite it.</w:t>
            </w:r>
          </w:p>
        </w:tc>
      </w:tr>
    </w:tbl>
    <w:p>
      <w:pPr>
        <w:spacing w:after="0" w:before="16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8.4  Sentence and Paragraph Structure</w:t>
      </w:r>
    </w:p>
    <w:p>
      <w:pPr>
        <w:spacing w:after="160" w:before="80"/>
      </w:pPr>
      <w:r>
        <w:rPr>
          <w:rFonts w:ascii="Georgia" w:cs="Georgia" w:eastAsia="Georgia" w:hAnsi="Georgia"/>
          <w:color w:val="1A1A1A"/>
          <w:sz w:val="22"/>
          <w:szCs w:val="22"/>
        </w:rPr>
        <w:t xml:space="preserve">Write in paragraphs wherever prose serves the meaning better. Lists appear only in Practical Applications (Section 4) and Related Books (Section 8). Every other section is continuous prose. Vary sentence length deliberately — clusters of long sentences signal academic drift, clusters of short sentences signal bluntness. The platform's register is neither.</w:t>
      </w:r>
    </w:p>
    <w:p>
      <w:pPr>
        <w:spacing w:after="160" w:before="80"/>
      </w:pPr>
      <w:r>
        <w:rPr>
          <w:rFonts w:ascii="Georgia" w:cs="Georgia" w:eastAsia="Georgia" w:hAnsi="Georgia"/>
          <w:color w:val="1A1A1A"/>
          <w:sz w:val="22"/>
          <w:szCs w:val="22"/>
        </w:rPr>
        <w:t xml:space="preserve">Do not open more than two consecutive paragraphs with the same grammatical construction. Repetition becomes monotone. Paragraphs run 2–5 sentences. A single powerful sentence can carry a paragraph in the closing reflection.</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8.5  Intellectual Honesty as Voice</w:t>
      </w:r>
    </w:p>
    <w:p>
      <w:pPr>
        <w:spacing w:after="160" w:before="80"/>
      </w:pPr>
      <w:r>
        <w:rPr>
          <w:rFonts w:ascii="Georgia" w:cs="Georgia" w:eastAsia="Georgia" w:hAnsi="Georgia"/>
          <w:color w:val="1A1A1A"/>
          <w:sz w:val="22"/>
          <w:szCs w:val="22"/>
        </w:rPr>
        <w:t xml:space="preserve">Intellectual honesty is not just a content standard — it is a voice characteristic. The platform's credibility rests on its willingness to note limitations, acknowledge difficulty, and resist the temptation to overclaim. Do not attribute views to a book's author that the author did not express. Do not claim a book 'will change how you think.' The platform's posture is: here is what this book offers, here is how it connects to your situation, and here is what you can do with it. Nothing more.</w:t>
      </w:r>
    </w:p>
    <w:p>
      <w:pPr>
        <w:spacing w:after="0" w:before="8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thick" w:color="B8962E" w:sz="24"/>
              <w:bottom w:val="single" w:color="1B2A4A" w:sz="12"/>
              <w:right w:val="none" w:color="FFFFFF" w:sz="0"/>
            </w:tcBorders>
            <w:shd w:fill="EAF2F8" w:val="clear"/>
            <w:tcMar>
              <w:top w:type="dxa" w:w="160"/>
              <w:left w:type="dxa" w:w="240"/>
              <w:bottom w:type="dxa" w:w="160"/>
              <w:right w:type="dxa" w:w="240"/>
            </w:tcMar>
          </w:tcPr>
          <w:p>
            <w:pPr>
              <w:spacing w:after="0" w:before="0"/>
            </w:pPr>
            <w:r>
              <w:rPr>
                <w:rFonts w:ascii="Georgia" w:cs="Georgia" w:eastAsia="Georgia" w:hAnsi="Georgia"/>
                <w:i/>
                <w:iCs/>
                <w:color w:val="1B2A4A"/>
                <w:sz w:val="22"/>
                <w:szCs w:val="22"/>
              </w:rPr>
              <w:t xml:space="preserve">Voice drift is the greatest long-term risk. If an entry would not have been written by the same person who wrote Man's Search for Meaning, Meditations, and Ego Is the Enemy, return it to the writer. The standard is the entries, not the description of them.</w:t>
            </w:r>
          </w:p>
        </w:tc>
      </w:tr>
    </w:tbl>
    <w:p>
      <w:pPr>
        <w:spacing w:after="0" w:before="200"/>
      </w:pPr>
      <w:r>
        <w:rPr>
          <w:rFonts w:ascii="Georgia" w:cs="Georgia" w:eastAsia="Georgia" w:hAnsi="Georgia"/>
          <w:color w:val="1A1A1A"/>
          <w:sz w:val="22"/>
          <w:szCs w:val="22"/>
        </w:rPr>
        <w:t xml:space="preserv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9  ·  PRE-PUBLICATION CHECKLISTS</w:t>
      </w:r>
    </w:p>
    <w:p>
      <w:pPr>
        <w:spacing w:after="160" w:before="80"/>
      </w:pPr>
      <w:r>
        <w:rPr>
          <w:rFonts w:ascii="Georgia" w:cs="Georgia" w:eastAsia="Georgia" w:hAnsi="Georgia"/>
          <w:color w:val="1A1A1A"/>
          <w:sz w:val="22"/>
          <w:szCs w:val="22"/>
        </w:rPr>
        <w:t xml:space="preserve">Before any entry is published, confirm all items in each checklist. A single failing item warrants revision, not an exception.</w:t>
      </w:r>
    </w:p>
    <w:p>
      <w:pPr>
        <w:spacing w:after="0" w:before="8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9.1  Voice &amp; Tone Checklist</w:t>
      </w:r>
    </w:p>
    <w:p>
      <w:pPr>
        <w:spacing w:after="0" w:before="6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87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No leadership clichés appear in any section of the entry</w:t>
            </w:r>
          </w:p>
        </w:tc>
      </w:tr>
      <w:tr>
        <w:tc>
          <w:tcPr>
            <w:tcW w:type="dxa" w:w="64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8720"/>
            <w:tcBorders>
              <w:top w:val="single" w:color="C5D3E0" w:sz="1"/>
              <w:left w:val="single" w:color="C5D3E0" w:sz="1"/>
              <w:bottom w:val="single" w:color="C5D3E0" w:sz="1"/>
              <w:right w:val="single" w:color="C5D3E0" w:sz="1"/>
            </w:tcBorders>
            <w:shd w:fill="EAF2F8"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No motivational register: no exclamation points, no false certainty, no benefit announcements</w:t>
            </w:r>
          </w:p>
        </w:tc>
      </w:tr>
      <w:tr>
        <w:tc>
          <w:tcPr>
            <w:tcW w:type="dxa" w:w="6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87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No first-person autobiography ('as a naval officer,' 'in my experience')</w:t>
            </w:r>
          </w:p>
        </w:tc>
      </w:tr>
      <w:tr>
        <w:tc>
          <w:tcPr>
            <w:tcW w:type="dxa" w:w="64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8720"/>
            <w:tcBorders>
              <w:top w:val="single" w:color="C5D3E0" w:sz="1"/>
              <w:left w:val="single" w:color="C5D3E0" w:sz="1"/>
              <w:bottom w:val="single" w:color="C5D3E0" w:sz="1"/>
              <w:right w:val="single" w:color="C5D3E0" w:sz="1"/>
            </w:tcBorders>
            <w:shd w:fill="EAF2F8"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Second person ('you') used in Sections 3 and 5; third person in Section 2</w:t>
            </w:r>
          </w:p>
        </w:tc>
      </w:tr>
      <w:tr>
        <w:tc>
          <w:tcPr>
            <w:tcW w:type="dxa" w:w="6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87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Voice sounds like conversation, not presentation</w:t>
            </w:r>
          </w:p>
        </w:tc>
      </w:tr>
      <w:tr>
        <w:tc>
          <w:tcPr>
            <w:tcW w:type="dxa" w:w="64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8720"/>
            <w:tcBorders>
              <w:top w:val="single" w:color="C5D3E0" w:sz="1"/>
              <w:left w:val="single" w:color="C5D3E0" w:sz="1"/>
              <w:bottom w:val="single" w:color="C5D3E0" w:sz="1"/>
              <w:right w:val="single" w:color="C5D3E0" w:sz="1"/>
            </w:tcBorders>
            <w:shd w:fill="EAF2F8"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The 'It Is Not X. It Is Y.' pattern appears no more than once per section</w:t>
            </w:r>
          </w:p>
        </w:tc>
      </w:tr>
      <w:tr>
        <w:tc>
          <w:tcPr>
            <w:tcW w:type="dxa" w:w="6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87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Closing passes the Motivational Poster Test when read aloud</w:t>
            </w:r>
          </w:p>
        </w:tc>
      </w:tr>
    </w:tbl>
    <w:p>
      <w:pPr>
        <w:spacing w:after="0" w:before="160"/>
      </w:pPr>
      <w:r>
        <w:rPr>
          <w:rFonts w:ascii="Georgia" w:cs="Georgia" w:eastAsia="Georgia" w:hAnsi="Georgia"/>
          <w:color w:val="1A1A1A"/>
          <w:sz w:val="22"/>
          <w:szCs w:val="22"/>
        </w:rPr>
        <w:t xml:space="preserve"/>
      </w:r>
    </w:p>
    <w:p>
      <w:pPr>
        <w:pStyle w:val="Heading2"/>
        <w:spacing w:after="120" w:before="320"/>
      </w:pPr>
      <w:r>
        <w:rPr>
          <w:rFonts w:ascii="Arial" w:cs="Arial" w:eastAsia="Arial" w:hAnsi="Arial"/>
          <w:b/>
          <w:bCs/>
          <w:color w:val="3D5166"/>
          <w:sz w:val="24"/>
          <w:szCs w:val="24"/>
        </w:rPr>
        <w:t xml:space="preserve">9.2  Section-by-Section Checklist</w:t>
      </w:r>
    </w:p>
    <w:p>
      <w:pPr>
        <w:spacing w:after="0" w:before="6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0"/>
        <w:gridCol w:w="6920"/>
      </w:tblGrid>
      <w:tr>
        <w:tc>
          <w:tcPr>
            <w:tcW w:type="dxa" w:w="1800"/>
            <w:tcBorders>
              <w:top w:val="single" w:color="C5D3E0" w:sz="1"/>
              <w:left w:val="single" w:color="C5D3E0" w:sz="1"/>
              <w:bottom w:val="single" w:color="C5D3E0" w:sz="1"/>
              <w:right w:val="single" w:color="C5D3E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640"/>
            <w:tcBorders>
              <w:top w:val="single" w:color="C5D3E0" w:sz="1"/>
              <w:left w:val="single" w:color="C5D3E0" w:sz="1"/>
              <w:bottom w:val="single" w:color="C5D3E0" w:sz="1"/>
              <w:right w:val="single" w:color="C5D3E0" w:sz="1"/>
            </w:tcBorders>
            <w:shd w:fill="1B2A4A" w:val="clear"/>
            <w:tcMar>
              <w:top w:type="dxa" w:w="80"/>
              <w:left w:type="dxa" w:w="120"/>
              <w:bottom w:type="dxa" w:w="80"/>
              <w:right w:type="dxa" w:w="120"/>
            </w:tcMar>
          </w:tcPr>
          <w:p>
            <w:pPr>
              <w:spacing w:after="0" w:before="0"/>
            </w:pPr>
            <w:r>
              <w:rPr>
                <w:rFonts w:ascii="Arial" w:cs="Arial" w:eastAsia="Arial" w:hAnsi="Arial"/>
                <w:color w:val="FFFFFF"/>
                <w:sz w:val="20"/>
                <w:szCs w:val="20"/>
              </w:rPr>
              <w:t xml:space="preserve">☐</w:t>
            </w:r>
          </w:p>
        </w:tc>
        <w:tc>
          <w:tcPr>
            <w:tcW w:type="dxa" w:w="6920"/>
            <w:tcBorders>
              <w:top w:val="single" w:color="C5D3E0" w:sz="1"/>
              <w:left w:val="single" w:color="C5D3E0" w:sz="1"/>
              <w:bottom w:val="single" w:color="C5D3E0" w:sz="1"/>
              <w:right w:val="single" w:color="C5D3E0"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Standard to Confirm</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pPr>
              <w:spacing w:after="0" w:before="0"/>
            </w:pPr>
            <w:r>
              <w:rPr>
                <w:rFonts w:ascii="Arial" w:cs="Arial" w:eastAsia="Arial" w:hAnsi="Arial"/>
                <w:b/>
                <w:bCs/>
                <w:color w:val="3D5166"/>
                <w:sz w:val="20"/>
                <w:szCs w:val="20"/>
              </w:rPr>
              <w:t xml:space="preserve">Opening Hook</w:t>
            </w:r>
          </w:p>
        </w:tc>
        <w:tc>
          <w:tcPr>
            <w:tcW w:type="dxa" w:w="6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69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Reader recognizes themselves in the first paragraph — not a general observation about leaders, but the reader's own experience named directly</w:t>
            </w:r>
          </w:p>
        </w:tc>
      </w:tr>
      <w:tr>
        <w:tc>
          <w:tcPr>
            <w:tcW w:type="dxa" w:w="180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tcPr>
          <w:p>
            <w:pPr>
              <w:spacing w:after="0" w:before="0"/>
            </w:pPr>
            <w:r>
              <w:rPr>
                <w:rFonts w:ascii="Arial" w:cs="Arial" w:eastAsia="Arial" w:hAnsi="Arial"/>
                <w:b/>
                <w:bCs/>
                <w:color w:val="3D5166"/>
                <w:sz w:val="20"/>
                <w:szCs w:val="20"/>
              </w:rPr>
              <w:t xml:space="preserve">Book Analysis</w:t>
            </w:r>
          </w:p>
        </w:tc>
        <w:tc>
          <w:tcPr>
            <w:tcW w:type="dxa" w:w="64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6920"/>
            <w:tcBorders>
              <w:top w:val="single" w:color="C5D3E0" w:sz="1"/>
              <w:left w:val="single" w:color="C5D3E0" w:sz="1"/>
              <w:bottom w:val="single" w:color="C5D3E0" w:sz="1"/>
              <w:right w:val="single" w:color="C5D3E0" w:sz="1"/>
            </w:tcBorders>
            <w:shd w:fill="EAF2F8"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States the book's central argument, covers 2–3 key frameworks, names the author's evidence type, and includes an honest statement of limitations</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pPr>
              <w:spacing w:after="0" w:before="0"/>
            </w:pPr>
            <w:r>
              <w:rPr>
                <w:rFonts w:ascii="Arial" w:cs="Arial" w:eastAsia="Arial" w:hAnsi="Arial"/>
                <w:b/>
                <w:bCs/>
                <w:color w:val="3D5166"/>
                <w:sz w:val="20"/>
                <w:szCs w:val="20"/>
              </w:rPr>
              <w:t xml:space="preserve">Commentary</w:t>
            </w:r>
          </w:p>
        </w:tc>
        <w:tc>
          <w:tcPr>
            <w:tcW w:type="dxa" w:w="6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69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Contains at least one military-specific mechanism observation that could not have been written without institutional knowledge; final paragraph names a specific honest limitation with redirect</w:t>
            </w:r>
          </w:p>
        </w:tc>
      </w:tr>
      <w:tr>
        <w:tc>
          <w:tcPr>
            <w:tcW w:type="dxa" w:w="180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tcPr>
          <w:p>
            <w:pPr>
              <w:spacing w:after="0" w:before="0"/>
            </w:pPr>
            <w:r>
              <w:rPr>
                <w:rFonts w:ascii="Arial" w:cs="Arial" w:eastAsia="Arial" w:hAnsi="Arial"/>
                <w:b/>
                <w:bCs/>
                <w:color w:val="3D5166"/>
                <w:sz w:val="20"/>
                <w:szCs w:val="20"/>
              </w:rPr>
              <w:t xml:space="preserve">Applications</w:t>
            </w:r>
          </w:p>
        </w:tc>
        <w:tc>
          <w:tcPr>
            <w:tcW w:type="dxa" w:w="64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6920"/>
            <w:tcBorders>
              <w:top w:val="single" w:color="C5D3E0" w:sz="1"/>
              <w:left w:val="single" w:color="C5D3E0" w:sz="1"/>
              <w:bottom w:val="single" w:color="C5D3E0" w:sz="1"/>
              <w:right w:val="single" w:color="C5D3E0" w:sz="1"/>
            </w:tcBorders>
            <w:shd w:fill="EAF2F8"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All items begin with an action verb or direct imperative; none function as reading instructions; each is specific enough to act on today</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pPr>
              <w:spacing w:after="0" w:before="0"/>
            </w:pPr>
            <w:r>
              <w:rPr>
                <w:rFonts w:ascii="Arial" w:cs="Arial" w:eastAsia="Arial" w:hAnsi="Arial"/>
                <w:b/>
                <w:bCs/>
                <w:color w:val="3D5166"/>
                <w:sz w:val="20"/>
                <w:szCs w:val="20"/>
              </w:rPr>
              <w:t xml:space="preserve">Reflection Qs</w:t>
            </w:r>
          </w:p>
        </w:tc>
        <w:tc>
          <w:tcPr>
            <w:tcW w:type="dxa" w:w="6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69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Four questions covering all four required territories; each passes the stage-neutral test; at least one question closes with 'what does your answer reveal'</w:t>
            </w:r>
          </w:p>
        </w:tc>
      </w:tr>
      <w:tr>
        <w:tc>
          <w:tcPr>
            <w:tcW w:type="dxa" w:w="180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tcPr>
          <w:p>
            <w:pPr>
              <w:spacing w:after="0" w:before="0"/>
            </w:pPr>
            <w:r>
              <w:rPr>
                <w:rFonts w:ascii="Arial" w:cs="Arial" w:eastAsia="Arial" w:hAnsi="Arial"/>
                <w:b/>
                <w:bCs/>
                <w:color w:val="3D5166"/>
                <w:sz w:val="20"/>
                <w:szCs w:val="20"/>
              </w:rPr>
              <w:t xml:space="preserve">Cross-Book</w:t>
            </w:r>
          </w:p>
        </w:tc>
        <w:tc>
          <w:tcPr>
            <w:tcW w:type="dxa" w:w="64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6920"/>
            <w:tcBorders>
              <w:top w:val="single" w:color="C5D3E0" w:sz="1"/>
              <w:left w:val="single" w:color="C5D3E0" w:sz="1"/>
              <w:bottom w:val="single" w:color="C5D3E0" w:sz="1"/>
              <w:right w:val="single" w:color="C5D3E0" w:sz="1"/>
            </w:tcBorders>
            <w:shd w:fill="EAF2F8"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All connections meet the Three-Part Standard; at least one tradition boundary crossing named explicitly; introductory paragraph frames the section's intellectual position</w:t>
            </w:r>
          </w:p>
        </w:tc>
      </w:tr>
      <w:tr>
        <w:tc>
          <w:tcPr>
            <w:tcW w:type="dxa" w:w="180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tcPr>
          <w:p>
            <w:pPr>
              <w:spacing w:after="0" w:before="0"/>
            </w:pPr>
            <w:r>
              <w:rPr>
                <w:rFonts w:ascii="Arial" w:cs="Arial" w:eastAsia="Arial" w:hAnsi="Arial"/>
                <w:b/>
                <w:bCs/>
                <w:color w:val="3D5166"/>
                <w:sz w:val="20"/>
                <w:szCs w:val="20"/>
              </w:rPr>
              <w:t xml:space="preserve">Closing</w:t>
            </w:r>
          </w:p>
        </w:tc>
        <w:tc>
          <w:tcPr>
            <w:tcW w:type="dxa" w:w="640"/>
            <w:tcBorders>
              <w:top w:val="single" w:color="C5D3E0" w:sz="1"/>
              <w:left w:val="single" w:color="C5D3E0" w:sz="1"/>
              <w:bottom w:val="single" w:color="C5D3E0" w:sz="1"/>
              <w:right w:val="single" w:color="C5D3E0" w:sz="1"/>
            </w:tcBorders>
            <w:shd w:fill="FFFFFF"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6920"/>
            <w:tcBorders>
              <w:top w:val="single" w:color="C5D3E0" w:sz="1"/>
              <w:left w:val="single" w:color="C5D3E0" w:sz="1"/>
              <w:bottom w:val="single" w:color="C5D3E0" w:sz="1"/>
              <w:right w:val="single" w:color="C5D3E0" w:sz="1"/>
            </w:tcBorders>
            <w:shd w:fill="FFFFFF"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Delivers all four required elements (perspective, practical wisdom, hope, humility); passes the Motivational Poster Test; ends on the reader's direction, not the book's value</w:t>
            </w:r>
          </w:p>
        </w:tc>
      </w:tr>
      <w:tr>
        <w:tc>
          <w:tcPr>
            <w:tcW w:type="dxa" w:w="180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tcPr>
          <w:p>
            <w:pPr>
              <w:spacing w:after="0" w:before="0"/>
            </w:pPr>
            <w:r>
              <w:rPr>
                <w:rFonts w:ascii="Arial" w:cs="Arial" w:eastAsia="Arial" w:hAnsi="Arial"/>
                <w:b/>
                <w:bCs/>
                <w:color w:val="3D5166"/>
                <w:sz w:val="20"/>
                <w:szCs w:val="20"/>
              </w:rPr>
              <w:t xml:space="preserve">Related Books</w:t>
            </w:r>
          </w:p>
        </w:tc>
        <w:tc>
          <w:tcPr>
            <w:tcW w:type="dxa" w:w="640"/>
            <w:tcBorders>
              <w:top w:val="single" w:color="C5D3E0" w:sz="1"/>
              <w:left w:val="single" w:color="C5D3E0" w:sz="1"/>
              <w:bottom w:val="single" w:color="C5D3E0" w:sz="1"/>
              <w:right w:val="single" w:color="C5D3E0" w:sz="1"/>
            </w:tcBorders>
            <w:shd w:fill="EAF2F8" w:val="clear"/>
            <w:tcMar>
              <w:top w:type="dxa" w:w="80"/>
              <w:left w:type="dxa" w:w="120"/>
              <w:bottom w:type="dxa" w:w="80"/>
              <w:right w:type="dxa" w:w="120"/>
            </w:tcMar>
            <w:vAlign w:val="center"/>
          </w:tcPr>
          <w:p>
            <w:pPr>
              <w:spacing w:after="0" w:before="0"/>
            </w:pPr>
            <w:r>
              <w:rPr>
                <w:rFonts w:ascii="Arial" w:cs="Arial" w:eastAsia="Arial" w:hAnsi="Arial"/>
                <w:color w:val="1B2A4A"/>
                <w:sz w:val="22"/>
                <w:szCs w:val="22"/>
              </w:rPr>
              <w:t xml:space="preserve">☐</w:t>
            </w:r>
          </w:p>
        </w:tc>
        <w:tc>
          <w:tcPr>
            <w:tcW w:type="dxa" w:w="6920"/>
            <w:tcBorders>
              <w:top w:val="single" w:color="C5D3E0" w:sz="1"/>
              <w:left w:val="single" w:color="C5D3E0" w:sz="1"/>
              <w:bottom w:val="single" w:color="C5D3E0" w:sz="1"/>
              <w:right w:val="single" w:color="C5D3E0" w:sz="1"/>
            </w:tcBorders>
            <w:shd w:fill="EAF2F8" w:val="clear"/>
            <w:tcMar>
              <w:top w:type="dxa" w:w="80"/>
              <w:left w:type="dxa" w:w="140"/>
              <w:bottom w:type="dxa" w:w="80"/>
              <w:right w:type="dxa" w:w="140"/>
            </w:tcMar>
          </w:tcPr>
          <w:p>
            <w:pPr>
              <w:spacing w:after="0" w:before="0"/>
            </w:pPr>
            <w:r>
              <w:rPr>
                <w:rFonts w:ascii="Georgia" w:cs="Georgia" w:eastAsia="Georgia" w:hAnsi="Georgia"/>
                <w:color w:val="1A1A1A"/>
                <w:sz w:val="22"/>
                <w:szCs w:val="22"/>
              </w:rPr>
              <w:t xml:space="preserve">All descriptions at or under 20 words; each description states the specific relationship, not the related book's content</w:t>
            </w:r>
          </w:p>
        </w:tc>
      </w:tr>
    </w:tbl>
    <w:p>
      <w:pPr>
        <w:spacing w:after="0" w:before="200"/>
      </w:pPr>
      <w:r>
        <w:rPr>
          <w:rFonts w:ascii="Georgia" w:cs="Georgia" w:eastAsia="Georgia" w:hAnsi="Georgia"/>
          <w:color w:val="1A1A1A"/>
          <w:sz w:val="22"/>
          <w:szCs w:val="22"/>
        </w:rPr>
        <w:t xml:space="preserve"/>
      </w:r>
    </w:p>
    <w:p>
      <w:pPr>
        <w:pStyle w:val="Heading1"/>
        <w:pBdr>
          <w:bottom w:val="single" w:color="B8962E" w:sz="8" w:space="4"/>
        </w:pBdr>
        <w:spacing w:after="160" w:before="480"/>
      </w:pPr>
      <w:r>
        <w:rPr>
          <w:rFonts w:ascii="Arial" w:cs="Arial" w:eastAsia="Arial" w:hAnsi="Arial"/>
          <w:b/>
          <w:bCs/>
          <w:caps w:val="false"/>
          <w:color w:val="1B2A4A"/>
          <w:sz w:val="26"/>
          <w:szCs w:val="26"/>
        </w:rPr>
        <w:t xml:space="preserve">10  ·  THE GOVERNING REMINDER</w:t>
      </w:r>
    </w:p>
    <w:p>
      <w:pPr>
        <w:spacing w:after="160" w:before="80"/>
      </w:pPr>
      <w:r>
        <w:rPr>
          <w:rFonts w:ascii="Georgia" w:cs="Georgia" w:eastAsia="Georgia" w:hAnsi="Georgia"/>
          <w:color w:val="1A1A1A"/>
          <w:sz w:val="22"/>
          <w:szCs w:val="22"/>
        </w:rPr>
        <w:t xml:space="preserve">Every standard in this playbook exists in service of one purpose: helping military leaders navigate significant life transitions through the accumulated wisdom of books.</w:t>
      </w:r>
    </w:p>
    <w:p>
      <w:pPr>
        <w:spacing w:after="160" w:before="80"/>
      </w:pPr>
      <w:r>
        <w:rPr>
          <w:rFonts w:ascii="Georgia" w:cs="Georgia" w:eastAsia="Georgia" w:hAnsi="Georgia"/>
          <w:color w:val="1A1A1A"/>
          <w:sz w:val="22"/>
          <w:szCs w:val="22"/>
        </w:rPr>
        <w:t xml:space="preserve">When a section is resisting — when the Commentary feels too thin, when the Cross-Book connection won't resolve, when the closing sounds like a motivational poster — return to that purpose. Ask: does this entry help someone standing at a significant life threshold understand themselves, their leadership, and what comes next? If yes, and the entry meets the structural and voice standards, it is ready. If no, the work continues.</w:t>
      </w:r>
    </w:p>
    <w:p>
      <w:pPr>
        <w:spacing w:after="160" w:before="80"/>
      </w:pPr>
      <w:r>
        <w:rPr>
          <w:rFonts w:ascii="Georgia" w:cs="Georgia" w:eastAsia="Georgia" w:hAnsi="Georgia"/>
          <w:color w:val="1A1A1A"/>
          <w:sz w:val="22"/>
          <w:szCs w:val="22"/>
        </w:rPr>
        <w:t xml:space="preserve">The Gold Standard entries are the evidence that this standard is achievable. They are not perfect documents — seven specific revisions stood between them and designation. But they demonstrate that depth, honesty, and genuine usefulness are not in conflict. They can coexist in a single entry. That is what every entry in this library is reaching for.</w:t>
      </w:r>
    </w:p>
    <w:p>
      <w:pPr>
        <w:spacing w:after="0" w:before="16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thick" w:color="B8962E" w:sz="24"/>
              <w:bottom w:val="single" w:color="1B2A4A" w:sz="12"/>
              <w:right w:val="none" w:color="FFFFFF" w:sz="0"/>
            </w:tcBorders>
            <w:shd w:fill="EAF2F8" w:val="clear"/>
            <w:tcMar>
              <w:top w:type="dxa" w:w="160"/>
              <w:left w:type="dxa" w:w="240"/>
              <w:bottom w:type="dxa" w:w="160"/>
              <w:right w:type="dxa" w:w="240"/>
            </w:tcMar>
          </w:tcPr>
          <w:p>
            <w:pPr>
              <w:spacing w:after="0" w:before="0"/>
            </w:pPr>
            <w:r>
              <w:rPr>
                <w:rFonts w:ascii="Georgia" w:cs="Georgia" w:eastAsia="Georgia" w:hAnsi="Georgia"/>
                <w:i/>
                <w:iCs/>
                <w:color w:val="1B2A4A"/>
                <w:sz w:val="22"/>
                <w:szCs w:val="22"/>
              </w:rPr>
              <w:t xml:space="preserve">The Gold Standard entries should be provided in full to every editor prior to their first entry. This playbook explains them. The entries demonstrate them. Both are required.</w:t>
            </w:r>
          </w:p>
        </w:tc>
      </w:tr>
    </w:tbl>
    <w:p>
      <w:pPr>
        <w:spacing w:after="0" w:before="200"/>
      </w:pPr>
      <w:r>
        <w:rPr>
          <w:rFonts w:ascii="Georgia" w:cs="Georgia" w:eastAsia="Georgia" w:hAnsi="Georgia"/>
          <w:color w:val="1A1A1A"/>
          <w:sz w:val="22"/>
          <w:szCs w:val="22"/>
        </w:rPr>
        <w:t xml:space="preserve"/>
      </w:r>
    </w:p>
    <w:p>
      <w:pPr>
        <w:pBdr>
          <w:top w:val="single" w:color="B8962E" w:sz="8" w:space="4"/>
        </w:pBdr>
        <w:spacing w:after="0" w:before="480"/>
        <w:jc w:val="center"/>
      </w:pPr>
      <w:r>
        <w:rPr>
          <w:rFonts w:ascii="Arial" w:cs="Arial" w:eastAsia="Arial" w:hAnsi="Arial"/>
          <w:color w:val="5A5A5A"/>
          <w:sz w:val="18"/>
          <w:szCs w:val="18"/>
        </w:rPr>
        <w:t xml:space="preserve">Leadership Through Transition  ·  Editorial Playbook  ·  Version 1.0  ·  June 2025  ·  Editorial Standards Division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4" w:space="4"/>
      </w:pBdr>
      <w:tabs>
        <w:tab w:val="right" w:pos="9360"/>
      </w:tabs>
      <w:spacing w:after="0" w:before="80"/>
    </w:pPr>
    <w:r>
      <w:rPr>
        <w:rFonts w:ascii="Arial" w:cs="Arial" w:eastAsia="Arial" w:hAnsi="Arial"/>
        <w:color w:val="5A5A5A"/>
        <w:sz w:val="16"/>
        <w:szCs w:val="16"/>
      </w:rPr>
      <w:t xml:space="preserve">Leadership Through Transition  ·  Editorial Standards Division</w:t>
    </w:r>
    <w:r>
      <w:rPr>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2E" w:sz="4" w:space="4"/>
      </w:pBdr>
      <w:tabs>
        <w:tab w:val="right" w:pos="9360"/>
      </w:tabs>
      <w:spacing w:after="80" w:before="0"/>
    </w:pPr>
    <w:r>
      <w:rPr>
        <w:rFonts w:ascii="Arial" w:cs="Arial" w:eastAsia="Arial" w:hAnsi="Arial"/>
        <w:color w:val="3D5166"/>
        <w:sz w:val="18"/>
        <w:szCs w:val="18"/>
      </w:rPr>
      <w:t xml:space="preserve">Leadership Through Transition  ·  Editorial Playbook</w:t>
    </w:r>
    <w:r>
      <w:rPr>
        <w:rFonts w:ascii="Arial" w:cs="Arial" w:eastAsia="Arial" w:hAnsi="Arial"/>
        <w:sz w:val="18"/>
        <w:szCs w:val="18"/>
      </w:rPr>
      <w:t xml:space="preserve">	</w:t>
    </w:r>
    <w:r>
      <w:rPr>
        <w:rFonts w:ascii="Arial" w:cs="Arial" w:eastAsia="Arial" w:hAnsi="Arial"/>
        <w:color w:val="3D5166"/>
        <w:sz w:val="18"/>
        <w:szCs w:val="18"/>
      </w:rPr>
      <w:t xml:space="preserve">v1.0  ·  June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26"/>
      <w:szCs w:val="26"/>
    </w:rPr>
  </w:style>
  <w:style w:type="paragraph" w:styleId="Heading2">
    <w:name w:val="Heading 2"/>
    <w:basedOn w:val="Normal"/>
    <w:next w:val="Normal"/>
    <w:qFormat/>
    <w:pPr>
      <w:spacing w:after="120" w:before="320"/>
      <w:outlineLvl w:val="1"/>
    </w:pPr>
    <w:rPr>
      <w:rFonts w:ascii="Arial" w:cs="Arial" w:eastAsia="Arial" w:hAnsi="Arial"/>
      <w:b/>
      <w:bCs/>
      <w:color w:val="3D516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D51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2026-06-12T06:04:47.358Z</dcterms:created>
  <dcterms:modified xsi:type="dcterms:W3CDTF">2026-06-12T06:04:47.358Z</dcterms:modified>
</cp:coreProperties>
</file>

<file path=docProps/custom.xml><?xml version="1.0" encoding="utf-8"?>
<Properties xmlns="http://schemas.openxmlformats.org/officeDocument/2006/custom-properties" xmlns:vt="http://schemas.openxmlformats.org/officeDocument/2006/docPropsVTypes"/>
</file>