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jc w:val="center"/>
      </w:pPr>
      <w:r>
        <w:rPr>
          <w:rFonts w:ascii="Arial" w:cs="Arial" w:eastAsia="Arial" w:hAnsi="Arial"/>
          <w:b/>
          <w:bCs/>
          <w:color w:val="1F3864"/>
          <w:sz w:val="28"/>
          <w:szCs w:val="28"/>
        </w:rPr>
        <w:t xml:space="preserve">LEADERSHIP THROUGH TRANSITION</w:t>
      </w:r>
    </w:p>
    <w:p>
      <w:pPr>
        <w:spacing w:after="60" w:before="0"/>
        <w:jc w:val="center"/>
      </w:pPr>
      <w:r>
        <w:rPr>
          <w:rFonts w:ascii="Arial" w:cs="Arial" w:eastAsia="Arial" w:hAnsi="Arial"/>
          <w:color w:val="555555"/>
          <w:sz w:val="22"/>
          <w:szCs w:val="22"/>
        </w:rPr>
        <w:t xml:space="preserve">Editorial Standards Division</w:t>
      </w:r>
    </w:p>
    <w:p>
      <w:pPr>
        <w:pBdr>
          <w:bottom w:val="single" w:color="8EAADB" w:sz="4" w:space="1"/>
        </w:pBdr>
        <w:spacing w:after="120" w:before="120"/>
      </w:pPr>
    </w:p>
    <w:p>
      <w:pPr>
        <w:spacing w:after="80" w:before="240"/>
        <w:jc w:val="center"/>
      </w:pPr>
      <w:r>
        <w:rPr>
          <w:rFonts w:ascii="Arial" w:cs="Arial" w:eastAsia="Arial" w:hAnsi="Arial"/>
          <w:b/>
          <w:bCs/>
          <w:color w:val="1F3864"/>
          <w:sz w:val="48"/>
          <w:szCs w:val="48"/>
        </w:rPr>
        <w:t xml:space="preserve">GOLD STANDARD REVIEW</w:t>
      </w:r>
    </w:p>
    <w:p>
      <w:pPr>
        <w:spacing w:after="60" w:before="0"/>
        <w:jc w:val="center"/>
      </w:pPr>
      <w:r>
        <w:rPr>
          <w:rFonts w:ascii="Arial" w:cs="Arial" w:eastAsia="Arial" w:hAnsi="Arial"/>
          <w:b/>
          <w:bCs/>
          <w:color w:val="C9A84C"/>
          <w:sz w:val="30"/>
          <w:szCs w:val="30"/>
        </w:rPr>
        <w:t xml:space="preserve">Identity Trilogy — Founding Entries</w:t>
      </w:r>
    </w:p>
    <w:p>
      <w:pPr>
        <w:spacing w:after="300" w:before="60"/>
        <w:jc w:val="center"/>
      </w:pPr>
      <w:r>
        <w:rPr>
          <w:rFonts w:ascii="Arial" w:cs="Arial" w:eastAsia="Arial" w:hAnsi="Arial"/>
          <w:i/>
          <w:iCs/>
          <w:color w:val="333333"/>
          <w:sz w:val="24"/>
          <w:szCs w:val="24"/>
        </w:rPr>
        <w:t xml:space="preserve">Man’s Search for Meaning  ·  Meditations  ·  Ego Is the Enemy</w:t>
      </w:r>
    </w:p>
    <w:p>
      <w:pPr>
        <w:pBdr>
          <w:bottom w:val="single" w:color="8EAADB" w:sz="4" w:space="1"/>
        </w:pBdr>
        <w:spacing w:after="120" w:before="120"/>
      </w:pP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r>
              <w:rPr>
                <w:rFonts w:ascii="Arial" w:cs="Arial" w:eastAsia="Arial" w:hAnsi="Arial"/>
                <w:b/>
                <w:bCs/>
                <w:color w:val="1F3864"/>
                <w:sz w:val="20"/>
                <w:szCs w:val="20"/>
              </w:rPr>
              <w:t xml:space="preserve">Document type</w:t>
            </w:r>
          </w:p>
        </w:tc>
        <w:tc>
          <w:tcPr>
            <w:tcW w:type="dxa" w:w="648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Gold Standard Review — Pre-Designation Audit</w:t>
            </w:r>
          </w:p>
        </w:tc>
      </w:tr>
      <w:tr>
        <w:tc>
          <w:tcPr>
            <w:tcW w:type="dxa" w:w="288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r>
              <w:rPr>
                <w:rFonts w:ascii="Arial" w:cs="Arial" w:eastAsia="Arial" w:hAnsi="Arial"/>
                <w:b/>
                <w:bCs/>
                <w:color w:val="1F3864"/>
                <w:sz w:val="20"/>
                <w:szCs w:val="20"/>
              </w:rPr>
              <w:t xml:space="preserve">Document version</w:t>
            </w:r>
          </w:p>
        </w:tc>
        <w:tc>
          <w:tcPr>
            <w:tcW w:type="dxa" w:w="648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000000"/>
                <w:sz w:val="20"/>
                <w:szCs w:val="20"/>
              </w:rPr>
              <w:t xml:space="preserve">v1.0</w:t>
            </w:r>
          </w:p>
        </w:tc>
      </w:tr>
      <w:tr>
        <w:tc>
          <w:tcPr>
            <w:tcW w:type="dxa" w:w="288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r>
              <w:rPr>
                <w:rFonts w:ascii="Arial" w:cs="Arial" w:eastAsia="Arial" w:hAnsi="Arial"/>
                <w:b/>
                <w:bCs/>
                <w:color w:val="1F3864"/>
                <w:sz w:val="20"/>
                <w:szCs w:val="20"/>
              </w:rPr>
              <w:t xml:space="preserve">Entries reviewed</w:t>
            </w:r>
          </w:p>
        </w:tc>
        <w:tc>
          <w:tcPr>
            <w:tcW w:type="dxa" w:w="648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Man’s Search for Meaning (v2.0)  ·  Meditations (v2.0)  ·  Ego Is the Enemy (v2.0)</w:t>
            </w:r>
          </w:p>
        </w:tc>
      </w:tr>
      <w:tr>
        <w:tc>
          <w:tcPr>
            <w:tcW w:type="dxa" w:w="288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r>
              <w:rPr>
                <w:rFonts w:ascii="Arial" w:cs="Arial" w:eastAsia="Arial" w:hAnsi="Arial"/>
                <w:b/>
                <w:bCs/>
                <w:color w:val="1F3864"/>
                <w:sz w:val="20"/>
                <w:szCs w:val="20"/>
              </w:rPr>
              <w:t xml:space="preserve">Governing standards</w:t>
            </w:r>
          </w:p>
        </w:tc>
        <w:tc>
          <w:tcPr>
            <w:tcW w:type="dxa" w:w="648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000000"/>
                <w:sz w:val="20"/>
                <w:szCs w:val="20"/>
              </w:rPr>
              <w:t xml:space="preserve">Book Entry Blueprint v1.0  ·  Cross-Book Wisdom Framework v1.0  ·  Project Constitution  ·  Voice &amp; Style Guide  ·  Taxonomy &amp; Content Standards</w:t>
            </w:r>
          </w:p>
        </w:tc>
      </w:tr>
      <w:tr>
        <w:tc>
          <w:tcPr>
            <w:tcW w:type="dxa" w:w="288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r>
              <w:rPr>
                <w:rFonts w:ascii="Arial" w:cs="Arial" w:eastAsia="Arial" w:hAnsi="Arial"/>
                <w:b/>
                <w:bCs/>
                <w:color w:val="1F3864"/>
                <w:sz w:val="20"/>
                <w:szCs w:val="20"/>
              </w:rPr>
              <w:t xml:space="preserve">Review date</w:t>
            </w:r>
          </w:p>
        </w:tc>
        <w:tc>
          <w:tcPr>
            <w:tcW w:type="dxa" w:w="648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June 2025</w:t>
            </w:r>
          </w:p>
        </w:tc>
      </w:tr>
      <w:tr>
        <w:tc>
          <w:tcPr>
            <w:tcW w:type="dxa" w:w="288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r>
              <w:rPr>
                <w:rFonts w:ascii="Arial" w:cs="Arial" w:eastAsia="Arial" w:hAnsi="Arial"/>
                <w:b/>
                <w:bCs/>
                <w:color w:val="1F3864"/>
                <w:sz w:val="20"/>
                <w:szCs w:val="20"/>
              </w:rPr>
              <w:t xml:space="preserve">Designation status</w:t>
            </w:r>
          </w:p>
        </w:tc>
        <w:tc>
          <w:tcPr>
            <w:tcW w:type="dxa" w:w="648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000000"/>
                <w:sz w:val="20"/>
                <w:szCs w:val="20"/>
              </w:rPr>
              <w:t xml:space="preserve">CONDITIONAL — Subject to revisions in Section 6</w:t>
            </w:r>
          </w:p>
        </w:tc>
      </w:tr>
    </w:tbl>
    <w:p>
      <w:pPr>
        <w:spacing w:after="0" w:before="200"/>
      </w:pPr>
    </w:p>
    <w:p>
      <w:r>
        <w:br w:type="page"/>
      </w:r>
    </w:p>
    <w:p>
      <w:pPr>
        <w:pBdr>
          <w:bottom w:val="single" w:color="1F3864" w:sz="8" w:space="2"/>
        </w:pBdr>
        <w:spacing w:after="120" w:before="320"/>
      </w:pPr>
      <w:r>
        <w:rPr>
          <w:rFonts w:ascii="Arial" w:cs="Arial" w:eastAsia="Arial" w:hAnsi="Arial"/>
          <w:b/>
          <w:bCs/>
          <w:color w:val="1F3864"/>
          <w:sz w:val="32"/>
          <w:szCs w:val="32"/>
        </w:rPr>
        <w:t xml:space="preserve">1  ·  Purpose of This Review</w:t>
      </w:r>
    </w:p>
    <w:p>
      <w:pPr>
        <w:spacing w:after="140" w:before="0"/>
        <w:jc w:val="left"/>
      </w:pPr>
      <w:r>
        <w:rPr>
          <w:rFonts w:ascii="Arial" w:cs="Arial" w:eastAsia="Arial" w:hAnsi="Arial"/>
          <w:b w:val="false"/>
          <w:bCs w:val="false"/>
          <w:i w:val="false"/>
          <w:iCs w:val="false"/>
          <w:sz w:val="22"/>
          <w:szCs w:val="22"/>
        </w:rPr>
        <w:t xml:space="preserve">This document constitutes the formal pre-designation audit for the three entries that will serve as Gold Standard examples for the Leadership Through Transition library. Gold Standard entries are not merely good entries — they are the reference standard against which every subsequent entry will be measured and against which every new editor will be trained. The bar is deliberately high.</w:t>
      </w:r>
    </w:p>
    <w:p>
      <w:pPr>
        <w:spacing w:after="140" w:before="0"/>
        <w:jc w:val="left"/>
      </w:pPr>
      <w:r>
        <w:rPr>
          <w:rFonts w:ascii="Arial" w:cs="Arial" w:eastAsia="Arial" w:hAnsi="Arial"/>
          <w:b w:val="false"/>
          <w:bCs w:val="false"/>
          <w:i w:val="false"/>
          <w:iCs w:val="false"/>
          <w:sz w:val="22"/>
          <w:szCs w:val="22"/>
        </w:rPr>
        <w:t xml:space="preserve">This review was conducted against all five governing documents: the Book Entry Blueprint v1.0, the Cross-Book Wisdom Framework v1.0, the Project Constitution, the Voice &amp; Style Guide, and the Taxonomy &amp; Content Standards Guide. Every finding is sourced to a specific standard. Every revision recommendation is specific enough to execute without judgment calls.</w:t>
      </w:r>
    </w:p>
    <w:p>
      <w:pPr>
        <w:spacing w:after="140" w:before="0"/>
        <w:jc w:val="left"/>
      </w:pPr>
      <w:r>
        <w:rPr>
          <w:rFonts w:ascii="Arial" w:cs="Arial" w:eastAsia="Arial" w:hAnsi="Arial"/>
          <w:b w:val="false"/>
          <w:bCs w:val="false"/>
          <w:i w:val="false"/>
          <w:iCs w:val="false"/>
          <w:sz w:val="22"/>
          <w:szCs w:val="22"/>
        </w:rPr>
        <w:t xml:space="preserve">The three entries reviewed are the v2.0 versions, incorporating revisions made following the initial editorial review. The question this document answers is not whether these entries are good — they are. The question is whether they are ready to become the permanent reference standard for a library that will eventually contain 100 or more entries written by editors who will use these three as their model.</w:t>
      </w:r>
    </w:p>
    <w:p>
      <w:pPr>
        <w:spacing w:after="0" w:before="100"/>
      </w:pPr>
    </w:p>
    <w:p>
      <w:pPr>
        <w:pBdr>
          <w:bottom w:val="single" w:color="1F3864" w:sz="8" w:space="2"/>
        </w:pBdr>
        <w:spacing w:after="120" w:before="320"/>
      </w:pPr>
      <w:r>
        <w:rPr>
          <w:rFonts w:ascii="Arial" w:cs="Arial" w:eastAsia="Arial" w:hAnsi="Arial"/>
          <w:b/>
          <w:bCs/>
          <w:color w:val="1F3864"/>
          <w:sz w:val="32"/>
          <w:szCs w:val="32"/>
        </w:rPr>
        <w:t xml:space="preserve">2  ·  Section-by-Section Scorecard</w:t>
      </w:r>
    </w:p>
    <w:p>
      <w:pPr>
        <w:spacing w:after="140" w:before="0"/>
        <w:jc w:val="left"/>
      </w:pPr>
      <w:r>
        <w:rPr>
          <w:rFonts w:ascii="Arial" w:cs="Arial" w:eastAsia="Arial" w:hAnsi="Arial"/>
          <w:b w:val="false"/>
          <w:bCs w:val="false"/>
          <w:i w:val="false"/>
          <w:iCs w:val="false"/>
          <w:sz w:val="22"/>
          <w:szCs w:val="22"/>
        </w:rPr>
        <w:t xml:space="preserve">Each section of each entry is rated against the Blueprint specification. Ratings reflect the current v2.0 state of each entry. A “Strong” rating indicates the section exceeds the minimum standard and should be encoded as a positive example in the Gold Standard documentation. A “Meets” rating indicates the section satisfies all requirements with no substantive weakness. A “Weak” rating indicates the section satisfies minimum requirements but contains a specific correctable deficiency. A “Gap” rating indicates the section does not meet the standard and requires revision before designation.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1920"/>
      </w:tblGrid>
      <w:tr>
        <w:trPr>
          <w:tblHeader/>
        </w:trPr>
        <w:tc>
          <w:tcPr>
            <w:tcW w:type="dxa" w:w="2400"/>
            <w:tcBorders>
              <w:top w:val="single" w:color="1F3864" w:sz="4"/>
              <w:left w:val="single" w:color="1F3864" w:sz="4"/>
              <w:bottom w:val="single" w:color="1F3864" w:sz="4"/>
              <w:right w:val="single" w:color="1F3864" w:sz="4"/>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Section</w:t>
            </w:r>
          </w:p>
        </w:tc>
        <w:tc>
          <w:tcPr>
            <w:tcW w:type="dxa" w:w="1680"/>
            <w:tcBorders>
              <w:top w:val="single" w:color="1F3864" w:sz="4"/>
              <w:left w:val="single" w:color="1F3864" w:sz="4"/>
              <w:bottom w:val="single" w:color="1F3864" w:sz="4"/>
              <w:right w:val="single" w:color="1F3864" w:sz="4"/>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Man’s Search for Meaning</w:t>
            </w:r>
          </w:p>
        </w:tc>
        <w:tc>
          <w:tcPr>
            <w:tcW w:type="dxa" w:w="1680"/>
            <w:tcBorders>
              <w:top w:val="single" w:color="1F3864" w:sz="4"/>
              <w:left w:val="single" w:color="1F3864" w:sz="4"/>
              <w:bottom w:val="single" w:color="1F3864" w:sz="4"/>
              <w:right w:val="single" w:color="1F3864" w:sz="4"/>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Meditations</w:t>
            </w:r>
          </w:p>
        </w:tc>
        <w:tc>
          <w:tcPr>
            <w:tcW w:type="dxa" w:w="1680"/>
            <w:tcBorders>
              <w:top w:val="single" w:color="1F3864" w:sz="4"/>
              <w:left w:val="single" w:color="1F3864" w:sz="4"/>
              <w:bottom w:val="single" w:color="1F3864" w:sz="4"/>
              <w:right w:val="single" w:color="1F3864" w:sz="4"/>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Ego Is the Enemy</w:t>
            </w:r>
          </w:p>
        </w:tc>
        <w:tc>
          <w:tcPr>
            <w:tcW w:type="dxa" w:w="1920"/>
            <w:tcBorders>
              <w:top w:val="single" w:color="1F3864" w:sz="4"/>
              <w:left w:val="single" w:color="1F3864" w:sz="4"/>
              <w:bottom w:val="single" w:color="1F3864" w:sz="4"/>
              <w:right w:val="single" w:color="1F3864" w:sz="4"/>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Notes</w:t>
            </w:r>
          </w:p>
        </w:tc>
      </w:tr>
      <w:tr>
        <w:tc>
          <w:tcPr>
            <w:tcW w:type="dxa" w:w="240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Header &amp; Description</w:t>
            </w:r>
          </w:p>
        </w:tc>
        <w:tc>
          <w:tcPr>
            <w:tcW w:type="dxa" w:w="16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 Strong</w:t>
            </w:r>
          </w:p>
        </w:tc>
        <w:tc>
          <w:tcPr>
            <w:tcW w:type="dxa" w:w="16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 Strong</w:t>
            </w:r>
          </w:p>
        </w:tc>
        <w:tc>
          <w:tcPr>
            <w:tcW w:type="dxa" w:w="16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 Strong</w:t>
            </w:r>
          </w:p>
        </w:tc>
        <w:tc>
          <w:tcPr>
            <w:tcW w:type="dxa" w:w="192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555555"/>
                <w:sz w:val="18"/>
                <w:szCs w:val="18"/>
              </w:rPr>
              <w:t xml:space="preserve">All three descriptions state the book’s argument, not its content, within 30 words</w:t>
            </w:r>
          </w:p>
        </w:tc>
      </w:tr>
      <w:tr>
        <w:tc>
          <w:tcPr>
            <w:tcW w:type="dxa" w:w="240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000000"/>
                <w:sz w:val="20"/>
                <w:szCs w:val="20"/>
              </w:rPr>
              <w:t xml:space="preserve">Taxonomy Tags</w:t>
            </w:r>
          </w:p>
        </w:tc>
        <w:tc>
          <w:tcPr>
            <w:tcW w:type="dxa" w:w="168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pPr>
              <w:jc w:val="center"/>
            </w:pPr>
            <w:r>
              <w:rPr>
                <w:rFonts w:ascii="Arial" w:cs="Arial" w:eastAsia="Arial" w:hAnsi="Arial"/>
                <w:b/>
                <w:bCs/>
                <w:color w:val="1F3864"/>
                <w:sz w:val="18"/>
                <w:szCs w:val="18"/>
              </w:rPr>
              <w:t xml:space="preserve">✓ Meets</w:t>
            </w:r>
          </w:p>
        </w:tc>
        <w:tc>
          <w:tcPr>
            <w:tcW w:type="dxa" w:w="168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pPr>
              <w:jc w:val="center"/>
            </w:pPr>
            <w:r>
              <w:rPr>
                <w:rFonts w:ascii="Arial" w:cs="Arial" w:eastAsia="Arial" w:hAnsi="Arial"/>
                <w:b/>
                <w:bCs/>
                <w:color w:val="1F3864"/>
                <w:sz w:val="18"/>
                <w:szCs w:val="18"/>
              </w:rPr>
              <w:t xml:space="preserve">✓ Meets</w:t>
            </w:r>
          </w:p>
        </w:tc>
        <w:tc>
          <w:tcPr>
            <w:tcW w:type="dxa" w:w="168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pPr>
              <w:jc w:val="center"/>
            </w:pPr>
            <w:r>
              <w:rPr>
                <w:rFonts w:ascii="Arial" w:cs="Arial" w:eastAsia="Arial" w:hAnsi="Arial"/>
                <w:b/>
                <w:bCs/>
                <w:color w:val="1F3864"/>
                <w:sz w:val="18"/>
                <w:szCs w:val="18"/>
              </w:rPr>
              <w:t xml:space="preserve">✓ Meets</w:t>
            </w:r>
          </w:p>
        </w:tc>
        <w:tc>
          <w:tcPr>
            <w:tcW w:type="dxa" w:w="192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555555"/>
                <w:sz w:val="18"/>
                <w:szCs w:val="18"/>
              </w:rPr>
              <w:t xml:space="preserve">All values approved; theme counts within specification</w:t>
            </w:r>
          </w:p>
        </w:tc>
      </w:tr>
      <w:tr>
        <w:tc>
          <w:tcPr>
            <w:tcW w:type="dxa" w:w="240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Key Lessons</w:t>
            </w:r>
          </w:p>
        </w:tc>
        <w:tc>
          <w:tcPr>
            <w:tcW w:type="dxa" w:w="16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 Strong</w:t>
            </w:r>
          </w:p>
        </w:tc>
        <w:tc>
          <w:tcPr>
            <w:tcW w:type="dxa" w:w="16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 Strong</w:t>
            </w:r>
          </w:p>
        </w:tc>
        <w:tc>
          <w:tcPr>
            <w:tcW w:type="dxa" w:w="16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 Strong</w:t>
            </w:r>
          </w:p>
        </w:tc>
        <w:tc>
          <w:tcPr>
            <w:tcW w:type="dxa" w:w="192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555555"/>
                <w:sz w:val="18"/>
                <w:szCs w:val="18"/>
              </w:rPr>
              <w:t xml:space="preserve">Complete declarative sentences; each capable of standing alone</w:t>
            </w:r>
          </w:p>
        </w:tc>
      </w:tr>
      <w:tr>
        <w:tc>
          <w:tcPr>
            <w:tcW w:type="dxa" w:w="240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000000"/>
                <w:sz w:val="20"/>
                <w:szCs w:val="20"/>
              </w:rPr>
              <w:t xml:space="preserve">Opening Hook</w:t>
            </w:r>
          </w:p>
        </w:tc>
        <w:tc>
          <w:tcPr>
            <w:tcW w:type="dxa" w:w="16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 Strong</w:t>
            </w:r>
          </w:p>
        </w:tc>
        <w:tc>
          <w:tcPr>
            <w:tcW w:type="dxa" w:w="168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pPr>
              <w:jc w:val="center"/>
            </w:pPr>
            <w:r>
              <w:rPr>
                <w:rFonts w:ascii="Arial" w:cs="Arial" w:eastAsia="Arial" w:hAnsi="Arial"/>
                <w:b/>
                <w:bCs/>
                <w:color w:val="1F3864"/>
                <w:sz w:val="18"/>
                <w:szCs w:val="18"/>
              </w:rPr>
              <w:t xml:space="preserve">✓ Meets</w:t>
            </w:r>
          </w:p>
        </w:tc>
        <w:tc>
          <w:tcPr>
            <w:tcW w:type="dxa" w:w="16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 Strong</w:t>
            </w:r>
          </w:p>
        </w:tc>
        <w:tc>
          <w:tcPr>
            <w:tcW w:type="dxa" w:w="192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555555"/>
                <w:sz w:val="18"/>
                <w:szCs w:val="18"/>
              </w:rPr>
              <w:t xml:space="preserve">MSfM and Ego hooks are exemplary; Meditations hook is structurally sound but opens on a declarative observation rather than the reader’s experience</w:t>
            </w:r>
          </w:p>
        </w:tc>
      </w:tr>
      <w:tr>
        <w:tc>
          <w:tcPr>
            <w:tcW w:type="dxa" w:w="240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Book Analysis — Central Argument</w:t>
            </w:r>
          </w:p>
        </w:tc>
        <w:tc>
          <w:tcPr>
            <w:tcW w:type="dxa" w:w="16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 Strong</w:t>
            </w:r>
          </w:p>
        </w:tc>
        <w:tc>
          <w:tcPr>
            <w:tcW w:type="dxa" w:w="16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 Strong</w:t>
            </w:r>
          </w:p>
        </w:tc>
        <w:tc>
          <w:tcPr>
            <w:tcW w:type="dxa" w:w="16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 Strong</w:t>
            </w:r>
          </w:p>
        </w:tc>
        <w:tc>
          <w:tcPr>
            <w:tcW w:type="dxa" w:w="192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555555"/>
                <w:sz w:val="18"/>
                <w:szCs w:val="18"/>
              </w:rPr>
              <w:t xml:space="preserve">All three state the argument analytically, not descriptively</w:t>
            </w:r>
          </w:p>
        </w:tc>
      </w:tr>
      <w:tr>
        <w:tc>
          <w:tcPr>
            <w:tcW w:type="dxa" w:w="240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000000"/>
                <w:sz w:val="20"/>
                <w:szCs w:val="20"/>
              </w:rPr>
              <w:t xml:space="preserve">Book Analysis — Frameworks</w:t>
            </w:r>
          </w:p>
        </w:tc>
        <w:tc>
          <w:tcPr>
            <w:tcW w:type="dxa" w:w="16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 Strong</w:t>
            </w:r>
          </w:p>
        </w:tc>
        <w:tc>
          <w:tcPr>
            <w:tcW w:type="dxa" w:w="16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 Strong</w:t>
            </w:r>
          </w:p>
        </w:tc>
        <w:tc>
          <w:tcPr>
            <w:tcW w:type="dxa" w:w="168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pPr>
              <w:jc w:val="center"/>
            </w:pPr>
            <w:r>
              <w:rPr>
                <w:rFonts w:ascii="Arial" w:cs="Arial" w:eastAsia="Arial" w:hAnsi="Arial"/>
                <w:b/>
                <w:bCs/>
                <w:color w:val="1F3864"/>
                <w:sz w:val="18"/>
                <w:szCs w:val="18"/>
              </w:rPr>
              <w:t xml:space="preserve">✓ Meets</w:t>
            </w:r>
          </w:p>
        </w:tc>
        <w:tc>
          <w:tcPr>
            <w:tcW w:type="dxa" w:w="192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555555"/>
                <w:sz w:val="18"/>
                <w:szCs w:val="18"/>
              </w:rPr>
              <w:t xml:space="preserve">Ego covers two frameworks; third idea (canvas strategy context) needs one sentence more</w:t>
            </w:r>
          </w:p>
        </w:tc>
      </w:tr>
      <w:tr>
        <w:tc>
          <w:tcPr>
            <w:tcW w:type="dxa" w:w="240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Book Analysis — Limitations</w:t>
            </w:r>
          </w:p>
        </w:tc>
        <w:tc>
          <w:tcPr>
            <w:tcW w:type="dxa" w:w="16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 Strong</w:t>
            </w:r>
          </w:p>
        </w:tc>
        <w:tc>
          <w:tcPr>
            <w:tcW w:type="dxa" w:w="16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 Strong</w:t>
            </w:r>
          </w:p>
        </w:tc>
        <w:tc>
          <w:tcPr>
            <w:tcW w:type="dxa" w:w="16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 Strong</w:t>
            </w:r>
          </w:p>
        </w:tc>
        <w:tc>
          <w:tcPr>
            <w:tcW w:type="dxa" w:w="192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555555"/>
                <w:sz w:val="18"/>
                <w:szCs w:val="18"/>
              </w:rPr>
              <w:t xml:space="preserve">Honest, precise, specific to this platform’s reader; not generic hedging</w:t>
            </w:r>
          </w:p>
        </w:tc>
      </w:tr>
      <w:tr>
        <w:tc>
          <w:tcPr>
            <w:tcW w:type="dxa" w:w="240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000000"/>
                <w:sz w:val="20"/>
                <w:szCs w:val="20"/>
              </w:rPr>
              <w:t xml:space="preserve">Leadership Transition Commentary</w:t>
            </w:r>
          </w:p>
        </w:tc>
        <w:tc>
          <w:tcPr>
            <w:tcW w:type="dxa" w:w="16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 Strong</w:t>
            </w:r>
          </w:p>
        </w:tc>
        <w:tc>
          <w:tcPr>
            <w:tcW w:type="dxa" w:w="16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 Strong</w:t>
            </w:r>
          </w:p>
        </w:tc>
        <w:tc>
          <w:tcPr>
            <w:tcW w:type="dxa" w:w="16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 Strong</w:t>
            </w:r>
          </w:p>
        </w:tc>
        <w:tc>
          <w:tcPr>
            <w:tcW w:type="dxa" w:w="192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555555"/>
                <w:sz w:val="18"/>
                <w:szCs w:val="18"/>
              </w:rPr>
              <w:t xml:space="preserve">The strongest section across all three entries; military-specific lens applied throughout</w:t>
            </w:r>
          </w:p>
        </w:tc>
      </w:tr>
      <w:tr>
        <w:tc>
          <w:tcPr>
            <w:tcW w:type="dxa" w:w="240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Practical Applications</w:t>
            </w:r>
          </w:p>
        </w:tc>
        <w:tc>
          <w:tcPr>
            <w:tcW w:type="dxa" w:w="168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pPr>
              <w:jc w:val="center"/>
            </w:pPr>
            <w:r>
              <w:rPr>
                <w:rFonts w:ascii="Arial" w:cs="Arial" w:eastAsia="Arial" w:hAnsi="Arial"/>
                <w:b/>
                <w:bCs/>
                <w:color w:val="1F3864"/>
                <w:sz w:val="18"/>
                <w:szCs w:val="18"/>
              </w:rPr>
              <w:t xml:space="preserve">✓ Meets</w:t>
            </w:r>
          </w:p>
        </w:tc>
        <w:tc>
          <w:tcPr>
            <w:tcW w:type="dxa" w:w="168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pPr>
              <w:jc w:val="center"/>
            </w:pPr>
            <w:r>
              <w:rPr>
                <w:rFonts w:ascii="Arial" w:cs="Arial" w:eastAsia="Arial" w:hAnsi="Arial"/>
                <w:b/>
                <w:bCs/>
                <w:color w:val="1F3864"/>
                <w:sz w:val="18"/>
                <w:szCs w:val="18"/>
              </w:rPr>
              <w:t xml:space="preserve">✓ Meets</w:t>
            </w:r>
          </w:p>
        </w:tc>
        <w:tc>
          <w:tcPr>
            <w:tcW w:type="dxa" w:w="168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pPr>
              <w:jc w:val="center"/>
            </w:pPr>
            <w:r>
              <w:rPr>
                <w:rFonts w:ascii="Arial" w:cs="Arial" w:eastAsia="Arial" w:hAnsi="Arial"/>
                <w:b/>
                <w:bCs/>
                <w:color w:val="1F3864"/>
                <w:sz w:val="18"/>
                <w:szCs w:val="18"/>
              </w:rPr>
              <w:t xml:space="preserve">✓ Meets</w:t>
            </w:r>
          </w:p>
        </w:tc>
        <w:tc>
          <w:tcPr>
            <w:tcW w:type="dxa" w:w="192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555555"/>
                <w:sz w:val="18"/>
                <w:szCs w:val="18"/>
              </w:rPr>
              <w:t xml:space="preserve">One residual application per entry reads more as observation than directive; see Section 5</w:t>
            </w:r>
          </w:p>
        </w:tc>
      </w:tr>
      <w:tr>
        <w:tc>
          <w:tcPr>
            <w:tcW w:type="dxa" w:w="240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000000"/>
                <w:sz w:val="20"/>
                <w:szCs w:val="20"/>
              </w:rPr>
              <w:t xml:space="preserve">Reflection Questions</w:t>
            </w:r>
          </w:p>
        </w:tc>
        <w:tc>
          <w:tcPr>
            <w:tcW w:type="dxa" w:w="16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 Strong</w:t>
            </w:r>
          </w:p>
        </w:tc>
        <w:tc>
          <w:tcPr>
            <w:tcW w:type="dxa" w:w="16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 Strong</w:t>
            </w:r>
          </w:p>
        </w:tc>
        <w:tc>
          <w:tcPr>
            <w:tcW w:type="dxa" w:w="1680"/>
            <w:tcBorders>
              <w:top w:val="single" w:color="FFD966" w:sz="4"/>
              <w:left w:val="single" w:color="FFD966" w:sz="4"/>
              <w:bottom w:val="single" w:color="FFD966" w:sz="4"/>
              <w:right w:val="single" w:color="FFD966" w:sz="4"/>
            </w:tcBorders>
            <w:shd w:fill="FFF2CC" w:val="clear"/>
            <w:tcMar>
              <w:top w:type="dxa" w:w="70"/>
              <w:left w:type="dxa" w:w="110"/>
              <w:bottom w:type="dxa" w:w="70"/>
              <w:right w:type="dxa" w:w="110"/>
            </w:tcMar>
          </w:tcPr>
          <w:p>
            <w:pPr>
              <w:jc w:val="center"/>
            </w:pPr>
            <w:r>
              <w:rPr>
                <w:rFonts w:ascii="Arial" w:cs="Arial" w:eastAsia="Arial" w:hAnsi="Arial"/>
                <w:b/>
                <w:bCs/>
                <w:color w:val="7F6000"/>
                <w:sz w:val="18"/>
                <w:szCs w:val="18"/>
              </w:rPr>
              <w:t xml:space="preserve">⚠ Weak</w:t>
            </w:r>
          </w:p>
        </w:tc>
        <w:tc>
          <w:tcPr>
            <w:tcW w:type="dxa" w:w="192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555555"/>
                <w:sz w:val="18"/>
                <w:szCs w:val="18"/>
              </w:rPr>
              <w:t xml:space="preserve">Ego Purpose &amp; Legacy question contains an embedded assumption; see Section 5</w:t>
            </w:r>
          </w:p>
        </w:tc>
      </w:tr>
      <w:tr>
        <w:tc>
          <w:tcPr>
            <w:tcW w:type="dxa" w:w="240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Cross-Book Connections — Count</w:t>
            </w:r>
          </w:p>
        </w:tc>
        <w:tc>
          <w:tcPr>
            <w:tcW w:type="dxa" w:w="168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pPr>
              <w:jc w:val="center"/>
            </w:pPr>
            <w:r>
              <w:rPr>
                <w:rFonts w:ascii="Arial" w:cs="Arial" w:eastAsia="Arial" w:hAnsi="Arial"/>
                <w:b/>
                <w:bCs/>
                <w:color w:val="1F3864"/>
                <w:sz w:val="18"/>
                <w:szCs w:val="18"/>
              </w:rPr>
              <w:t xml:space="preserve">✓ Meets</w:t>
            </w:r>
          </w:p>
        </w:tc>
        <w:tc>
          <w:tcPr>
            <w:tcW w:type="dxa" w:w="168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pPr>
              <w:jc w:val="center"/>
            </w:pPr>
            <w:r>
              <w:rPr>
                <w:rFonts w:ascii="Arial" w:cs="Arial" w:eastAsia="Arial" w:hAnsi="Arial"/>
                <w:b/>
                <w:bCs/>
                <w:color w:val="1F3864"/>
                <w:sz w:val="18"/>
                <w:szCs w:val="18"/>
              </w:rPr>
              <w:t xml:space="preserve">✓ Meets</w:t>
            </w:r>
          </w:p>
        </w:tc>
        <w:tc>
          <w:tcPr>
            <w:tcW w:type="dxa" w:w="168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pPr>
              <w:jc w:val="center"/>
            </w:pPr>
            <w:r>
              <w:rPr>
                <w:rFonts w:ascii="Arial" w:cs="Arial" w:eastAsia="Arial" w:hAnsi="Arial"/>
                <w:b/>
                <w:bCs/>
                <w:color w:val="1F3864"/>
                <w:sz w:val="18"/>
                <w:szCs w:val="18"/>
              </w:rPr>
              <w:t xml:space="preserve">✓ Meets</w:t>
            </w:r>
          </w:p>
        </w:tc>
        <w:tc>
          <w:tcPr>
            <w:tcW w:type="dxa" w:w="192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555555"/>
                <w:sz w:val="18"/>
                <w:szCs w:val="18"/>
              </w:rPr>
              <w:t xml:space="preserve">All three entries meet the 4-connection minimum for Core/Foundational Canon books</w:t>
            </w:r>
          </w:p>
        </w:tc>
      </w:tr>
      <w:tr>
        <w:tc>
          <w:tcPr>
            <w:tcW w:type="dxa" w:w="240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000000"/>
                <w:sz w:val="20"/>
                <w:szCs w:val="20"/>
              </w:rPr>
              <w:t xml:space="preserve">Cross-Book Connections — Quality</w:t>
            </w:r>
          </w:p>
        </w:tc>
        <w:tc>
          <w:tcPr>
            <w:tcW w:type="dxa" w:w="16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 Strong</w:t>
            </w:r>
          </w:p>
        </w:tc>
        <w:tc>
          <w:tcPr>
            <w:tcW w:type="dxa" w:w="16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 Strong</w:t>
            </w:r>
          </w:p>
        </w:tc>
        <w:tc>
          <w:tcPr>
            <w:tcW w:type="dxa" w:w="16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 Strong</w:t>
            </w:r>
          </w:p>
        </w:tc>
        <w:tc>
          <w:tcPr>
            <w:tcW w:type="dxa" w:w="192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555555"/>
                <w:sz w:val="18"/>
                <w:szCs w:val="18"/>
              </w:rPr>
              <w:t xml:space="preserve">Synthesis observations present and substantive in all twelve connections</w:t>
            </w:r>
          </w:p>
        </w:tc>
      </w:tr>
      <w:tr>
        <w:tc>
          <w:tcPr>
            <w:tcW w:type="dxa" w:w="240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Cross-Book Connections — Tradition Boundary</w:t>
            </w:r>
          </w:p>
        </w:tc>
        <w:tc>
          <w:tcPr>
            <w:tcW w:type="dxa" w:w="16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 Strong</w:t>
            </w:r>
          </w:p>
        </w:tc>
        <w:tc>
          <w:tcPr>
            <w:tcW w:type="dxa" w:w="16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 Strong</w:t>
            </w:r>
          </w:p>
        </w:tc>
        <w:tc>
          <w:tcPr>
            <w:tcW w:type="dxa" w:w="16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 Strong</w:t>
            </w:r>
          </w:p>
        </w:tc>
        <w:tc>
          <w:tcPr>
            <w:tcW w:type="dxa" w:w="192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555555"/>
                <w:sz w:val="18"/>
                <w:szCs w:val="18"/>
              </w:rPr>
              <w:t xml:space="preserve">MSfM: 3 of 4 cross traditions; Meditations: 3 of 4; Ego: 2 of 4 (sufficient; minimum is 1 per entry)</w:t>
            </w:r>
          </w:p>
        </w:tc>
      </w:tr>
      <w:tr>
        <w:tc>
          <w:tcPr>
            <w:tcW w:type="dxa" w:w="240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000000"/>
                <w:sz w:val="20"/>
                <w:szCs w:val="20"/>
              </w:rPr>
              <w:t xml:space="preserve">Closing Reflection</w:t>
            </w:r>
          </w:p>
        </w:tc>
        <w:tc>
          <w:tcPr>
            <w:tcW w:type="dxa" w:w="16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 Strong</w:t>
            </w:r>
          </w:p>
        </w:tc>
        <w:tc>
          <w:tcPr>
            <w:tcW w:type="dxa" w:w="16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 Strong</w:t>
            </w:r>
          </w:p>
        </w:tc>
        <w:tc>
          <w:tcPr>
            <w:tcW w:type="dxa" w:w="168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pPr>
              <w:jc w:val="center"/>
            </w:pPr>
            <w:r>
              <w:rPr>
                <w:rFonts w:ascii="Arial" w:cs="Arial" w:eastAsia="Arial" w:hAnsi="Arial"/>
                <w:b/>
                <w:bCs/>
                <w:color w:val="1F3864"/>
                <w:sz w:val="18"/>
                <w:szCs w:val="18"/>
              </w:rPr>
              <w:t xml:space="preserve">✓ Meets</w:t>
            </w:r>
          </w:p>
        </w:tc>
        <w:tc>
          <w:tcPr>
            <w:tcW w:type="dxa" w:w="192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555555"/>
                <w:sz w:val="18"/>
                <w:szCs w:val="18"/>
              </w:rPr>
              <w:t xml:space="preserve">MSfM and Meditations closings are exemplary; Ego closing is sound but carries one weak sentence</w:t>
            </w:r>
          </w:p>
        </w:tc>
      </w:tr>
      <w:tr>
        <w:tc>
          <w:tcPr>
            <w:tcW w:type="dxa" w:w="240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Related Books — Selection</w:t>
            </w:r>
          </w:p>
        </w:tc>
        <w:tc>
          <w:tcPr>
            <w:tcW w:type="dxa" w:w="16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 Strong</w:t>
            </w:r>
          </w:p>
        </w:tc>
        <w:tc>
          <w:tcPr>
            <w:tcW w:type="dxa" w:w="16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 Strong</w:t>
            </w:r>
          </w:p>
        </w:tc>
        <w:tc>
          <w:tcPr>
            <w:tcW w:type="dxa" w:w="16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 Strong</w:t>
            </w:r>
          </w:p>
        </w:tc>
        <w:tc>
          <w:tcPr>
            <w:tcW w:type="dxa" w:w="192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555555"/>
                <w:sz w:val="18"/>
                <w:szCs w:val="18"/>
              </w:rPr>
              <w:t xml:space="preserve">All three entries include at least one title not appearing in Cross-Book connections</w:t>
            </w:r>
          </w:p>
        </w:tc>
      </w:tr>
      <w:tr>
        <w:tc>
          <w:tcPr>
            <w:tcW w:type="dxa" w:w="240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000000"/>
                <w:sz w:val="20"/>
                <w:szCs w:val="20"/>
              </w:rPr>
              <w:t xml:space="preserve">Related Books — Descriptions</w:t>
            </w:r>
          </w:p>
        </w:tc>
        <w:tc>
          <w:tcPr>
            <w:tcW w:type="dxa" w:w="168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pPr>
              <w:jc w:val="center"/>
            </w:pPr>
            <w:r>
              <w:rPr>
                <w:rFonts w:ascii="Arial" w:cs="Arial" w:eastAsia="Arial" w:hAnsi="Arial"/>
                <w:b/>
                <w:bCs/>
                <w:color w:val="1F3864"/>
                <w:sz w:val="18"/>
                <w:szCs w:val="18"/>
              </w:rPr>
              <w:t xml:space="preserve">✓ Meets</w:t>
            </w:r>
          </w:p>
        </w:tc>
        <w:tc>
          <w:tcPr>
            <w:tcW w:type="dxa" w:w="168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pPr>
              <w:jc w:val="center"/>
            </w:pPr>
            <w:r>
              <w:rPr>
                <w:rFonts w:ascii="Arial" w:cs="Arial" w:eastAsia="Arial" w:hAnsi="Arial"/>
                <w:b/>
                <w:bCs/>
                <w:color w:val="1F3864"/>
                <w:sz w:val="18"/>
                <w:szCs w:val="18"/>
              </w:rPr>
              <w:t xml:space="preserve">✓ Meets</w:t>
            </w:r>
          </w:p>
        </w:tc>
        <w:tc>
          <w:tcPr>
            <w:tcW w:type="dxa" w:w="168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pPr>
              <w:jc w:val="center"/>
            </w:pPr>
            <w:r>
              <w:rPr>
                <w:rFonts w:ascii="Arial" w:cs="Arial" w:eastAsia="Arial" w:hAnsi="Arial"/>
                <w:b/>
                <w:bCs/>
                <w:color w:val="1F3864"/>
                <w:sz w:val="18"/>
                <w:szCs w:val="18"/>
              </w:rPr>
              <w:t xml:space="preserve">✓ Meets</w:t>
            </w:r>
          </w:p>
        </w:tc>
        <w:tc>
          <w:tcPr>
            <w:tcW w:type="dxa" w:w="192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555555"/>
                <w:sz w:val="18"/>
                <w:szCs w:val="18"/>
              </w:rPr>
              <w:t xml:space="preserve">Descriptions are specific; two entries have one description exceeding 20-word limit</w:t>
            </w:r>
          </w:p>
        </w:tc>
      </w:tr>
      <w:tr>
        <w:tc>
          <w:tcPr>
            <w:tcW w:type="dxa" w:w="240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Voice Discipline — No Clichés</w:t>
            </w:r>
          </w:p>
        </w:tc>
        <w:tc>
          <w:tcPr>
            <w:tcW w:type="dxa" w:w="16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 Strong</w:t>
            </w:r>
          </w:p>
        </w:tc>
        <w:tc>
          <w:tcPr>
            <w:tcW w:type="dxa" w:w="16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 Strong</w:t>
            </w:r>
          </w:p>
        </w:tc>
        <w:tc>
          <w:tcPr>
            <w:tcW w:type="dxa" w:w="16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 Strong</w:t>
            </w:r>
          </w:p>
        </w:tc>
        <w:tc>
          <w:tcPr>
            <w:tcW w:type="dxa" w:w="192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555555"/>
                <w:sz w:val="18"/>
                <w:szCs w:val="18"/>
              </w:rPr>
              <w:t xml:space="preserve">No leadership clichés detected across any section of any entry</w:t>
            </w:r>
          </w:p>
        </w:tc>
      </w:tr>
      <w:tr>
        <w:tc>
          <w:tcPr>
            <w:tcW w:type="dxa" w:w="240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000000"/>
                <w:sz w:val="20"/>
                <w:szCs w:val="20"/>
              </w:rPr>
              <w:t xml:space="preserve">Voice Discipline — Register</w:t>
            </w:r>
          </w:p>
        </w:tc>
        <w:tc>
          <w:tcPr>
            <w:tcW w:type="dxa" w:w="16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 Strong</w:t>
            </w:r>
          </w:p>
        </w:tc>
        <w:tc>
          <w:tcPr>
            <w:tcW w:type="dxa" w:w="16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 Strong</w:t>
            </w:r>
          </w:p>
        </w:tc>
        <w:tc>
          <w:tcPr>
            <w:tcW w:type="dxa" w:w="168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pPr>
              <w:jc w:val="center"/>
            </w:pPr>
            <w:r>
              <w:rPr>
                <w:rFonts w:ascii="Arial" w:cs="Arial" w:eastAsia="Arial" w:hAnsi="Arial"/>
                <w:b/>
                <w:bCs/>
                <w:color w:val="1F3864"/>
                <w:sz w:val="18"/>
                <w:szCs w:val="18"/>
              </w:rPr>
              <w:t xml:space="preserve">✓ Meets</w:t>
            </w:r>
          </w:p>
        </w:tc>
        <w:tc>
          <w:tcPr>
            <w:tcW w:type="dxa" w:w="192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555555"/>
                <w:sz w:val="18"/>
                <w:szCs w:val="18"/>
              </w:rPr>
              <w:t xml:space="preserve">No first-person autobiography; no motivational register; Ego has one residual mild urgency</w:t>
            </w:r>
          </w:p>
        </w:tc>
      </w:tr>
      <w:tr>
        <w:tc>
          <w:tcPr>
            <w:tcW w:type="dxa" w:w="240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Second-Person Consistency (Sections 3 &amp; 5)</w:t>
            </w:r>
          </w:p>
        </w:tc>
        <w:tc>
          <w:tcPr>
            <w:tcW w:type="dxa" w:w="16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 Strong</w:t>
            </w:r>
          </w:p>
        </w:tc>
        <w:tc>
          <w:tcPr>
            <w:tcW w:type="dxa" w:w="16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 Strong</w:t>
            </w:r>
          </w:p>
        </w:tc>
        <w:tc>
          <w:tcPr>
            <w:tcW w:type="dxa" w:w="16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 Strong</w:t>
            </w:r>
          </w:p>
        </w:tc>
        <w:tc>
          <w:tcPr>
            <w:tcW w:type="dxa" w:w="192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555555"/>
                <w:sz w:val="18"/>
                <w:szCs w:val="18"/>
              </w:rPr>
              <w:t xml:space="preserve">Correctly applied throughout all three entries</w:t>
            </w:r>
          </w:p>
        </w:tc>
      </w:tr>
      <w:tr>
        <w:tc>
          <w:tcPr>
            <w:tcW w:type="dxa" w:w="240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000000"/>
                <w:sz w:val="20"/>
                <w:szCs w:val="20"/>
              </w:rPr>
              <w:t xml:space="preserve">Third-Person in Book Analysis (Section 2)</w:t>
            </w:r>
          </w:p>
        </w:tc>
        <w:tc>
          <w:tcPr>
            <w:tcW w:type="dxa" w:w="16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 Strong</w:t>
            </w:r>
          </w:p>
        </w:tc>
        <w:tc>
          <w:tcPr>
            <w:tcW w:type="dxa" w:w="16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 Strong</w:t>
            </w:r>
          </w:p>
        </w:tc>
        <w:tc>
          <w:tcPr>
            <w:tcW w:type="dxa" w:w="16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 Strong</w:t>
            </w:r>
          </w:p>
        </w:tc>
        <w:tc>
          <w:tcPr>
            <w:tcW w:type="dxa" w:w="192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555555"/>
                <w:sz w:val="18"/>
                <w:szCs w:val="18"/>
              </w:rPr>
              <w:t xml:space="preserve">Correctly applied; no POV drift into second person in Section 2</w:t>
            </w:r>
          </w:p>
        </w:tc>
      </w:tr>
      <w:tr>
        <w:tc>
          <w:tcPr>
            <w:tcW w:type="dxa" w:w="240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Internal Coherence</w:t>
            </w:r>
          </w:p>
        </w:tc>
        <w:tc>
          <w:tcPr>
            <w:tcW w:type="dxa" w:w="16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 Strong</w:t>
            </w:r>
          </w:p>
        </w:tc>
        <w:tc>
          <w:tcPr>
            <w:tcW w:type="dxa" w:w="168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pPr>
              <w:jc w:val="center"/>
            </w:pPr>
            <w:r>
              <w:rPr>
                <w:rFonts w:ascii="Arial" w:cs="Arial" w:eastAsia="Arial" w:hAnsi="Arial"/>
                <w:b/>
                <w:bCs/>
                <w:color w:val="1F3864"/>
                <w:sz w:val="18"/>
                <w:szCs w:val="18"/>
              </w:rPr>
              <w:t xml:space="preserve">✓ Meets</w:t>
            </w:r>
          </w:p>
        </w:tc>
        <w:tc>
          <w:tcPr>
            <w:tcW w:type="dxa" w:w="168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pPr>
              <w:jc w:val="center"/>
            </w:pPr>
            <w:r>
              <w:rPr>
                <w:rFonts w:ascii="Arial" w:cs="Arial" w:eastAsia="Arial" w:hAnsi="Arial"/>
                <w:b/>
                <w:bCs/>
                <w:color w:val="1F3864"/>
                <w:sz w:val="18"/>
                <w:szCs w:val="18"/>
              </w:rPr>
              <w:t xml:space="preserve">✓ Meets</w:t>
            </w:r>
          </w:p>
        </w:tc>
        <w:tc>
          <w:tcPr>
            <w:tcW w:type="dxa" w:w="192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555555"/>
                <w:sz w:val="18"/>
                <w:szCs w:val="18"/>
              </w:rPr>
              <w:t xml:space="preserve">MSfM closing loops back to hook imagery; Meditations and Ego closings send forward without internal callback</w:t>
            </w:r>
          </w:p>
        </w:tc>
      </w:tr>
    </w:tbl>
    <w:p>
      <w:pPr>
        <w:spacing w:after="0" w:before="160"/>
      </w:pPr>
    </w:p>
    <w:p>
      <w:r>
        <w:br w:type="page"/>
      </w:r>
    </w:p>
    <w:p>
      <w:pPr>
        <w:pBdr>
          <w:bottom w:val="single" w:color="1F3864" w:sz="8" w:space="2"/>
        </w:pBdr>
        <w:spacing w:after="120" w:before="320"/>
      </w:pPr>
      <w:r>
        <w:rPr>
          <w:rFonts w:ascii="Arial" w:cs="Arial" w:eastAsia="Arial" w:hAnsi="Arial"/>
          <w:b/>
          <w:bCs/>
          <w:color w:val="1F3864"/>
          <w:sz w:val="32"/>
          <w:szCs w:val="32"/>
        </w:rPr>
        <w:t xml:space="preserve">3  ·  Strengths</w:t>
      </w:r>
    </w:p>
    <w:p>
      <w:pPr>
        <w:spacing w:after="140" w:before="0"/>
        <w:jc w:val="left"/>
      </w:pPr>
      <w:r>
        <w:rPr>
          <w:rFonts w:ascii="Arial" w:cs="Arial" w:eastAsia="Arial" w:hAnsi="Arial"/>
          <w:b w:val="false"/>
          <w:bCs w:val="false"/>
          <w:i w:val="false"/>
          <w:iCs w:val="false"/>
          <w:sz w:val="22"/>
          <w:szCs w:val="22"/>
        </w:rPr>
        <w:t xml:space="preserve">The following strengths are documented not merely as praise but as positive encoding: each one identifies a specific technique, structure, or voice choice that should be named explicitly in the Gold Standard training documentation and used as a model for every subsequent entry.</w:t>
      </w:r>
    </w:p>
    <w:p>
      <w:pPr>
        <w:spacing w:after="0" w:before="80"/>
      </w:pPr>
    </w:p>
    <w:p>
      <w:pPr>
        <w:spacing w:after="100" w:before="260"/>
      </w:pPr>
      <w:r>
        <w:rPr>
          <w:rFonts w:ascii="Arial" w:cs="Arial" w:eastAsia="Arial" w:hAnsi="Arial"/>
          <w:b/>
          <w:bCs/>
          <w:color w:val="1F3864"/>
          <w:sz w:val="26"/>
          <w:szCs w:val="26"/>
        </w:rPr>
        <w:t xml:space="preserve">3.1  Leadership Transition Commentary — Military-Specific Mechanism</w:t>
      </w:r>
    </w:p>
    <w:p>
      <w:pPr>
        <w:spacing w:after="140" w:before="0"/>
        <w:jc w:val="left"/>
      </w:pPr>
      <w:r>
        <w:rPr>
          <w:rFonts w:ascii="Arial" w:cs="Arial" w:eastAsia="Arial" w:hAnsi="Arial"/>
          <w:b w:val="false"/>
          <w:bCs w:val="false"/>
          <w:i w:val="false"/>
          <w:iCs w:val="false"/>
          <w:sz w:val="22"/>
          <w:szCs w:val="22"/>
        </w:rPr>
        <w:t xml:space="preserve">All three entries satisfy the Blueprint’s most demanding requirement for Section 3: each contains at least one observation that could not have been written by someone who had not understood military leadership from the inside. These are not generic career-transition observations translated into military vocabulary. They are structurally military observations.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1F3864" w:sz="4"/>
              <w:left w:val="single" w:color="1F3864" w:sz="4"/>
              <w:bottom w:val="single" w:color="1F3864" w:sz="4"/>
              <w:right w:val="single" w:color="1F3864" w:sz="4"/>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Source</w:t>
            </w:r>
          </w:p>
        </w:tc>
        <w:tc>
          <w:tcPr>
            <w:tcW w:type="dxa" w:w="7200"/>
            <w:tcBorders>
              <w:top w:val="single" w:color="1F3864" w:sz="4"/>
              <w:left w:val="single" w:color="1F3864" w:sz="4"/>
              <w:bottom w:val="single" w:color="1F3864" w:sz="4"/>
              <w:right w:val="single" w:color="1F3864" w:sz="4"/>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Finding / Evidence</w:t>
            </w:r>
          </w:p>
        </w:tc>
      </w:tr>
      <w:tr>
        <w:tc>
          <w:tcPr>
            <w:tcW w:type="dxa" w:w="216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r>
              <w:rPr>
                <w:rFonts w:ascii="Arial" w:cs="Arial" w:eastAsia="Arial" w:hAnsi="Arial"/>
                <w:b/>
                <w:bCs/>
                <w:color w:val="1F3864"/>
                <w:sz w:val="20"/>
                <w:szCs w:val="20"/>
              </w:rPr>
              <w:t xml:space="preserve">Ego Is the Enemy
Commentary ¶ 2</w:t>
            </w:r>
          </w:p>
        </w:tc>
        <w:tc>
          <w:tcPr>
            <w:tcW w:type="dxa" w:w="720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111111"/>
                <w:sz w:val="20"/>
                <w:szCs w:val="20"/>
              </w:rPr>
              <w:t xml:space="preserve">“The military leader who arrives in a civilian organization and immediately begins signaling their former rank, who bridles at being asked to learn rather than lead, who cannot resist framing every observation through the lens of what their service experience taught them — that leader is not being arrogant in any simple sense. They are experiencing the exposure of an ego that was always there, kept invisible by an environment that constantly confirmed it. The ego was not a flaw. It was a reasonable construction from the available materials.”
Rationale: Names a specific behavioral pattern, refuses to pathologize it, and identifies the institutional mechanism that produced it. This is the platform’s voice at full extension.</w:t>
            </w:r>
          </w:p>
        </w:tc>
      </w:tr>
      <w:tr>
        <w:tc>
          <w:tcPr>
            <w:tcW w:type="dxa" w:w="216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r>
              <w:rPr>
                <w:rFonts w:ascii="Arial" w:cs="Arial" w:eastAsia="Arial" w:hAnsi="Arial"/>
                <w:b/>
                <w:bCs/>
                <w:color w:val="1F3864"/>
                <w:sz w:val="20"/>
                <w:szCs w:val="20"/>
              </w:rPr>
              <w:t xml:space="preserve">Man’s Search for Meaning
Commentary ¶ 4</w:t>
            </w:r>
          </w:p>
        </w:tc>
        <w:tc>
          <w:tcPr>
            <w:tcW w:type="dxa" w:w="720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111111"/>
                <w:sz w:val="20"/>
                <w:szCs w:val="20"/>
              </w:rPr>
              <w:t xml:space="preserve">“You likely led people through difficulty — deployments, operations, loss. The authority you carried in those moments was not primarily rank. It was something harder to name: a calm that came from having thought through what you stood for.”
Rationale: Identifies something specific to the reader’s experience that most transition resources don’t reach. The observation is precise, not sentimental, and it sets up the portability claim that follows.</w:t>
            </w:r>
          </w:p>
        </w:tc>
      </w:tr>
      <w:tr>
        <w:tc>
          <w:tcPr>
            <w:tcW w:type="dxa" w:w="216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r>
              <w:rPr>
                <w:rFonts w:ascii="Arial" w:cs="Arial" w:eastAsia="Arial" w:hAnsi="Arial"/>
                <w:b/>
                <w:bCs/>
                <w:color w:val="1F3864"/>
                <w:sz w:val="20"/>
                <w:szCs w:val="20"/>
              </w:rPr>
              <w:t xml:space="preserve">Meditations
Commentary ¶ 1</w:t>
            </w:r>
          </w:p>
        </w:tc>
        <w:tc>
          <w:tcPr>
            <w:tcW w:type="dxa" w:w="720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111111"/>
                <w:sz w:val="20"/>
                <w:szCs w:val="20"/>
              </w:rPr>
              <w:t xml:space="preserve">“There is a particular kind of authority that military leaders carry for decades without ever having to examine its source. It comes with the rank... this creates a specific vulnerability: a leader who has never had to build authority from scratch... may not know they lack that skill until they need it.”
Rationale: The inverse-of-Aurelius framing — Aurelius had to resist letting authority corrupt him; the military leader has to resist letting its removal define them — is an original observation that earns its place. It is the kind of synthesis that justifies the platform’s existence.</w:t>
            </w:r>
          </w:p>
        </w:tc>
      </w:tr>
    </w:tbl>
    <w:p>
      <w:pPr>
        <w:spacing w:after="0" w:before="100"/>
      </w:pPr>
    </w:p>
    <w:p>
      <w:pPr>
        <w:spacing w:after="100" w:before="260"/>
      </w:pPr>
      <w:r>
        <w:rPr>
          <w:rFonts w:ascii="Arial" w:cs="Arial" w:eastAsia="Arial" w:hAnsi="Arial"/>
          <w:b/>
          <w:bCs/>
          <w:color w:val="1F3864"/>
          <w:sz w:val="26"/>
          <w:szCs w:val="26"/>
        </w:rPr>
        <w:t xml:space="preserve">3.2  Book Analysis — Intellectual Honesty</w:t>
      </w:r>
    </w:p>
    <w:p>
      <w:pPr>
        <w:spacing w:after="140" w:before="0"/>
        <w:jc w:val="left"/>
      </w:pPr>
      <w:r>
        <w:rPr>
          <w:rFonts w:ascii="Arial" w:cs="Arial" w:eastAsia="Arial" w:hAnsi="Arial"/>
          <w:b w:val="false"/>
          <w:bCs w:val="false"/>
          <w:i w:val="false"/>
          <w:iCs w:val="false"/>
          <w:sz w:val="22"/>
          <w:szCs w:val="22"/>
        </w:rPr>
        <w:t xml:space="preserve">Every Book Analysis section acknowledges the book’s limitations with specificity and without apology. This is a consistent pattern across all three entries and one of the platform’s most important quality markers. Readers trust entries that notice when a book falls short.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1F3864" w:sz="4"/>
              <w:left w:val="single" w:color="1F3864" w:sz="4"/>
              <w:bottom w:val="single" w:color="1F3864" w:sz="4"/>
              <w:right w:val="single" w:color="1F3864" w:sz="4"/>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Source</w:t>
            </w:r>
          </w:p>
        </w:tc>
        <w:tc>
          <w:tcPr>
            <w:tcW w:type="dxa" w:w="7200"/>
            <w:tcBorders>
              <w:top w:val="single" w:color="1F3864" w:sz="4"/>
              <w:left w:val="single" w:color="1F3864" w:sz="4"/>
              <w:bottom w:val="single" w:color="1F3864" w:sz="4"/>
              <w:right w:val="single" w:color="1F3864" w:sz="4"/>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Finding / Evidence</w:t>
            </w:r>
          </w:p>
        </w:tc>
      </w:tr>
      <w:tr>
        <w:tc>
          <w:tcPr>
            <w:tcW w:type="dxa" w:w="216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r>
              <w:rPr>
                <w:rFonts w:ascii="Arial" w:cs="Arial" w:eastAsia="Arial" w:hAnsi="Arial"/>
                <w:b/>
                <w:bCs/>
                <w:color w:val="1F3864"/>
                <w:sz w:val="20"/>
                <w:szCs w:val="20"/>
              </w:rPr>
              <w:t xml:space="preserve">Man’s Search for Meaning
Analysis</w:t>
            </w:r>
          </w:p>
        </w:tc>
        <w:tc>
          <w:tcPr>
            <w:tcW w:type="dxa" w:w="720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111111"/>
                <w:sz w:val="20"/>
                <w:szCs w:val="20"/>
              </w:rPr>
              <w:t xml:space="preserve">“What it offers is not proof, but a framework of hard-earned seriousness for understanding what makes human beings resilient.” The limitation (philosophical rather than empirical) is named without diminishing the book’s value. The phrase “hard-earned seriousness” reframes the limitation as a different kind of authority.</w:t>
            </w:r>
          </w:p>
        </w:tc>
      </w:tr>
      <w:tr>
        <w:tc>
          <w:tcPr>
            <w:tcW w:type="dxa" w:w="216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r>
              <w:rPr>
                <w:rFonts w:ascii="Arial" w:cs="Arial" w:eastAsia="Arial" w:hAnsi="Arial"/>
                <w:b/>
                <w:bCs/>
                <w:color w:val="1F3864"/>
                <w:sz w:val="20"/>
                <w:szCs w:val="20"/>
              </w:rPr>
              <w:t xml:space="preserve">Meditations
Analysis</w:t>
            </w:r>
          </w:p>
        </w:tc>
        <w:tc>
          <w:tcPr>
            <w:tcW w:type="dxa" w:w="720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111111"/>
                <w:sz w:val="20"/>
                <w:szCs w:val="20"/>
              </w:rPr>
              <w:t xml:space="preserve">“The book rewards a different kind of engagement — not a single linear reading, but repeated short encounters, ideally over months rather than days. It is not a book to be completed. It is a book to be returned to.” The limitation (no narrative arc, potentially diffuse) is converted into a reading prescription. The acknowledgment is honest without being discouraging.</w:t>
            </w:r>
          </w:p>
        </w:tc>
      </w:tr>
      <w:tr>
        <w:tc>
          <w:tcPr>
            <w:tcW w:type="dxa" w:w="216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r>
              <w:rPr>
                <w:rFonts w:ascii="Arial" w:cs="Arial" w:eastAsia="Arial" w:hAnsi="Arial"/>
                <w:b/>
                <w:bCs/>
                <w:color w:val="1F3864"/>
                <w:sz w:val="20"/>
                <w:szCs w:val="20"/>
              </w:rPr>
              <w:t xml:space="preserve">Ego Is the Enemy
Analysis</w:t>
            </w:r>
          </w:p>
        </w:tc>
        <w:tc>
          <w:tcPr>
            <w:tcW w:type="dxa" w:w="720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111111"/>
                <w:sz w:val="20"/>
                <w:szCs w:val="20"/>
              </w:rPr>
              <w:t xml:space="preserve">“The book is more a sustained reminder than a systematic analysis, and its power accumulates through reiteration rather than through progressive argument.” Precisely names the book’s structural characteristic and implicitly explains why Holiday’s historical examples sometimes feel selective.</w:t>
            </w:r>
          </w:p>
        </w:tc>
      </w:tr>
    </w:tbl>
    <w:p>
      <w:pPr>
        <w:spacing w:after="0" w:before="100"/>
      </w:pPr>
    </w:p>
    <w:p>
      <w:pPr>
        <w:spacing w:after="100" w:before="260"/>
      </w:pPr>
      <w:r>
        <w:rPr>
          <w:rFonts w:ascii="Arial" w:cs="Arial" w:eastAsia="Arial" w:hAnsi="Arial"/>
          <w:b/>
          <w:bCs/>
          <w:color w:val="1F3864"/>
          <w:sz w:val="26"/>
          <w:szCs w:val="26"/>
        </w:rPr>
        <w:t xml:space="preserve">3.3  Cross-Book Wisdom Connections — Synthesis Quality</w:t>
      </w:r>
    </w:p>
    <w:p>
      <w:pPr>
        <w:spacing w:after="140" w:before="0"/>
        <w:jc w:val="left"/>
      </w:pPr>
      <w:r>
        <w:rPr>
          <w:rFonts w:ascii="Arial" w:cs="Arial" w:eastAsia="Arial" w:hAnsi="Arial"/>
          <w:b w:val="false"/>
          <w:bCs w:val="false"/>
          <w:i w:val="false"/>
          <w:iCs w:val="false"/>
          <w:sz w:val="22"/>
          <w:szCs w:val="22"/>
        </w:rPr>
        <w:t xml:space="preserve">Across all twelve connections in the three entries, every connection contains a genuine synthesis observation — something the reader could not have seen from inside either book alone. This is the Cross-Book Wisdom Framework’s primary quality gate (Criterion 3), and it is met without exception. Three specific connections are flagged as exemplars.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1F3864" w:sz="4"/>
              <w:left w:val="single" w:color="1F3864" w:sz="4"/>
              <w:bottom w:val="single" w:color="1F3864" w:sz="4"/>
              <w:right w:val="single" w:color="1F3864" w:sz="4"/>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Source</w:t>
            </w:r>
          </w:p>
        </w:tc>
        <w:tc>
          <w:tcPr>
            <w:tcW w:type="dxa" w:w="7200"/>
            <w:tcBorders>
              <w:top w:val="single" w:color="1F3864" w:sz="4"/>
              <w:left w:val="single" w:color="1F3864" w:sz="4"/>
              <w:bottom w:val="single" w:color="1F3864" w:sz="4"/>
              <w:right w:val="single" w:color="1F3864" w:sz="4"/>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Finding / Evidence</w:t>
            </w:r>
          </w:p>
        </w:tc>
      </w:tr>
      <w:tr>
        <w:tc>
          <w:tcPr>
            <w:tcW w:type="dxa" w:w="216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r>
              <w:rPr>
                <w:rFonts w:ascii="Arial" w:cs="Arial" w:eastAsia="Arial" w:hAnsi="Arial"/>
                <w:b/>
                <w:bCs/>
                <w:color w:val="1F3864"/>
                <w:sz w:val="20"/>
                <w:szCs w:val="20"/>
              </w:rPr>
              <w:t xml:space="preserve">Meditations → Frankl
Historical Echo</w:t>
            </w:r>
          </w:p>
        </w:tc>
        <w:tc>
          <w:tcPr>
            <w:tcW w:type="dxa" w:w="720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111111"/>
                <w:sz w:val="20"/>
                <w:szCs w:val="20"/>
              </w:rPr>
              <w:t xml:space="preserve">“What the Historical Echo reveals is that this claim has been tested from both ends of the power spectrum, across nearly two thousand years, and found to hold.” The synthesis observation is not that Aurelius and Frankl agreed — it is that the agreement constitutes evidence. The convergence is proof rather than coincidence. This is how the Engine’s “conviction” function is supposed to work.</w:t>
            </w:r>
          </w:p>
        </w:tc>
      </w:tr>
      <w:tr>
        <w:tc>
          <w:tcPr>
            <w:tcW w:type="dxa" w:w="216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r>
              <w:rPr>
                <w:rFonts w:ascii="Arial" w:cs="Arial" w:eastAsia="Arial" w:hAnsi="Arial"/>
                <w:b/>
                <w:bCs/>
                <w:color w:val="1F3864"/>
                <w:sz w:val="20"/>
                <w:szCs w:val="20"/>
              </w:rPr>
              <w:t xml:space="preserve">Ego → Frankl
Convergence</w:t>
            </w:r>
          </w:p>
        </w:tc>
        <w:tc>
          <w:tcPr>
            <w:tcW w:type="dxa" w:w="720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111111"/>
                <w:sz w:val="20"/>
                <w:szCs w:val="20"/>
              </w:rPr>
              <w:t xml:space="preserve">“The synthesis observation for the identity trilogy as a whole — Frankl, Aurelius, Holiday — is this: three authors from three different traditions, writing across eight decades, all identify the same vulnerability and all point toward the same alternative. The self that survives is the one that was never borrowed from an institution to begin with. That convergence, across traditions and centuries, is the closest thing this library has to proof.” This connection delivers the payoff of the entire trilogy.</w:t>
            </w:r>
          </w:p>
        </w:tc>
      </w:tr>
      <w:tr>
        <w:tc>
          <w:tcPr>
            <w:tcW w:type="dxa" w:w="216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r>
              <w:rPr>
                <w:rFonts w:ascii="Arial" w:cs="Arial" w:eastAsia="Arial" w:hAnsi="Arial"/>
                <w:b/>
                <w:bCs/>
                <w:color w:val="1F3864"/>
                <w:sz w:val="20"/>
                <w:szCs w:val="20"/>
              </w:rPr>
              <w:t xml:space="preserve">Ego → Musashi
Tradition Bridge</w:t>
            </w:r>
          </w:p>
        </w:tc>
        <w:tc>
          <w:tcPr>
            <w:tcW w:type="dxa" w:w="720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111111"/>
                <w:sz w:val="20"/>
                <w:szCs w:val="20"/>
              </w:rPr>
              <w:t xml:space="preserve">“The swordsman who fights to look skilled is not fighting well. The parallel to Holiday’s ego trap — the leader who performs leadership rather than practicing it — runs through the Five Rings without Musashi ever using Holiday’s vocabulary.” The observation that Musashi arrives at the same insight without the vocabulary is itself a synthesis observation. It demonstrates that the idea transcends the framework used to express it.</w:t>
            </w:r>
          </w:p>
        </w:tc>
      </w:tr>
    </w:tbl>
    <w:p>
      <w:pPr>
        <w:spacing w:after="0" w:before="100"/>
      </w:pPr>
    </w:p>
    <w:p>
      <w:pPr>
        <w:spacing w:after="100" w:before="260"/>
      </w:pPr>
      <w:r>
        <w:rPr>
          <w:rFonts w:ascii="Arial" w:cs="Arial" w:eastAsia="Arial" w:hAnsi="Arial"/>
          <w:b/>
          <w:bCs/>
          <w:color w:val="1F3864"/>
          <w:sz w:val="26"/>
          <w:szCs w:val="26"/>
        </w:rPr>
        <w:t xml:space="preserve">3.4  Opening Hooks — Man’s Search for Meaning and Ego Is the Enemy</w:t>
      </w:r>
    </w:p>
    <w:p>
      <w:pPr>
        <w:spacing w:after="140" w:before="0"/>
        <w:jc w:val="left"/>
      </w:pPr>
      <w:r>
        <w:rPr>
          <w:rFonts w:ascii="Arial" w:cs="Arial" w:eastAsia="Arial" w:hAnsi="Arial"/>
          <w:b w:val="false"/>
          <w:bCs w:val="false"/>
          <w:i w:val="false"/>
          <w:iCs w:val="false"/>
          <w:sz w:val="22"/>
          <w:szCs w:val="22"/>
        </w:rPr>
        <w:t xml:space="preserve">Two of the three opening hooks meet the Blueprint’s highest standard: the reader should recognize themselves in the first paragraph. Both accomplish this without announcing that intention.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70AD47" w:sz="8"/>
              <w:left w:val="single" w:color="70AD47" w:sz="8"/>
              <w:bottom w:val="single" w:color="70AD47" w:sz="8"/>
              <w:right w:val="none" w:color="FFFFFF" w:sz="0"/>
            </w:tcBorders>
            <w:shd w:fill="70AD47"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MSfM</w:t>
            </w:r>
          </w:p>
        </w:tc>
        <w:tc>
          <w:tcPr>
            <w:tcW w:type="dxa" w:w="8640"/>
            <w:tcBorders>
              <w:top w:val="single" w:color="70AD47" w:sz="8"/>
              <w:left w:val="none" w:color="FFFFFF" w:sz="0"/>
              <w:bottom w:val="single" w:color="70AD47" w:sz="8"/>
              <w:right w:val="single" w:color="70AD47" w:sz="8"/>
            </w:tcBorders>
            <w:shd w:fill="E2F0D9" w:val="clear"/>
            <w:tcMar>
              <w:top w:type="dxa" w:w="100"/>
              <w:left w:type="dxa" w:w="160"/>
              <w:bottom w:type="dxa" w:w="100"/>
              <w:right w:type="dxa" w:w="140"/>
            </w:tcMar>
          </w:tcPr>
          <w:p>
            <w:r>
              <w:rPr>
                <w:rFonts w:ascii="Arial" w:cs="Arial" w:eastAsia="Arial" w:hAnsi="Arial"/>
                <w:color w:val="375623"/>
                <w:sz w:val="21"/>
                <w:szCs w:val="21"/>
              </w:rPr>
              <w:t xml:space="preserve">“Somewhere between the decision to leave and the day it actually happens, the questions change. It is no longer about process — the paperwork, the timelines, the next assignment. It is about something harder to name.”
This opening works because it stages the reader’s experience precisely before naming the book. The reader recognizes the shift from logistical to existential before the entry has asked anything of them. The second paragraph then positions Frankl not as a relevant author but as someone who answered the exact question the reader is already carrying. This is the Blueprint’s standard for the bridge element of the hook.</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70AD47" w:sz="8"/>
              <w:left w:val="single" w:color="70AD47" w:sz="8"/>
              <w:bottom w:val="single" w:color="70AD47" w:sz="8"/>
              <w:right w:val="none" w:color="FFFFFF" w:sz="0"/>
            </w:tcBorders>
            <w:shd w:fill="70AD47"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Ego</w:t>
            </w:r>
          </w:p>
        </w:tc>
        <w:tc>
          <w:tcPr>
            <w:tcW w:type="dxa" w:w="8640"/>
            <w:tcBorders>
              <w:top w:val="single" w:color="70AD47" w:sz="8"/>
              <w:left w:val="none" w:color="FFFFFF" w:sz="0"/>
              <w:bottom w:val="single" w:color="70AD47" w:sz="8"/>
              <w:right w:val="single" w:color="70AD47" w:sz="8"/>
            </w:tcBorders>
            <w:shd w:fill="E2F0D9" w:val="clear"/>
            <w:tcMar>
              <w:top w:type="dxa" w:w="100"/>
              <w:left w:type="dxa" w:w="160"/>
              <w:bottom w:type="dxa" w:w="100"/>
              <w:right w:type="dxa" w:w="140"/>
            </w:tcMar>
          </w:tcPr>
          <w:p>
            <w:r>
              <w:rPr>
                <w:rFonts w:ascii="Arial" w:cs="Arial" w:eastAsia="Arial" w:hAnsi="Arial"/>
                <w:color w:val="375623"/>
                <w:sz w:val="21"/>
                <w:szCs w:val="21"/>
              </w:rPr>
              <w:t xml:space="preserve">“There is a particular failure pattern in military transition that does not get discussed enough because it is embarrassing to name.”
The hook works because it names something the reader may have seen or feared in themselves without yet having named it. The framing (“embarrassing to name”) creates an implicit promise: this entry will name it without judgment. The second paragraph delivers the mechanism (ego as borrowed identity) before requesting any agreement. The reader is not asked to accept a thesis — they are shown a pattern they recognize.</w:t>
            </w:r>
          </w:p>
        </w:tc>
      </w:tr>
    </w:tbl>
    <w:p>
      <w:pPr>
        <w:spacing w:after="0" w:before="100"/>
      </w:pPr>
    </w:p>
    <w:p>
      <w:pPr>
        <w:spacing w:after="100" w:before="260"/>
      </w:pPr>
      <w:r>
        <w:rPr>
          <w:rFonts w:ascii="Arial" w:cs="Arial" w:eastAsia="Arial" w:hAnsi="Arial"/>
          <w:b/>
          <w:bCs/>
          <w:color w:val="1F3864"/>
          <w:sz w:val="26"/>
          <w:szCs w:val="26"/>
        </w:rPr>
        <w:t xml:space="preserve">3.5  Closing Reflections — Man’s Search for Meaning and Meditations</w:t>
      </w:r>
    </w:p>
    <w:p>
      <w:pPr>
        <w:spacing w:after="140" w:before="0"/>
        <w:jc w:val="left"/>
      </w:pPr>
      <w:r>
        <w:rPr>
          <w:rFonts w:ascii="Arial" w:cs="Arial" w:eastAsia="Arial" w:hAnsi="Arial"/>
          <w:b w:val="false"/>
          <w:bCs w:val="false"/>
          <w:i w:val="false"/>
          <w:iCs w:val="false"/>
          <w:sz w:val="22"/>
          <w:szCs w:val="22"/>
        </w:rPr>
        <w:t xml:space="preserve">Both closings deliver all four required elements — perspective, practical wisdom, hope, humility — without announcing them. Both end on the reader’s direction rather than on the book’s importance. The final sentences of each are the Gold Standard for this section.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1F3864" w:sz="4"/>
              <w:left w:val="single" w:color="1F3864" w:sz="4"/>
              <w:bottom w:val="single" w:color="1F3864" w:sz="4"/>
              <w:right w:val="single" w:color="1F3864" w:sz="4"/>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Source</w:t>
            </w:r>
          </w:p>
        </w:tc>
        <w:tc>
          <w:tcPr>
            <w:tcW w:type="dxa" w:w="7200"/>
            <w:tcBorders>
              <w:top w:val="single" w:color="1F3864" w:sz="4"/>
              <w:left w:val="single" w:color="1F3864" w:sz="4"/>
              <w:bottom w:val="single" w:color="1F3864" w:sz="4"/>
              <w:right w:val="single" w:color="1F3864" w:sz="4"/>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Finding / Evidence</w:t>
            </w:r>
          </w:p>
        </w:tc>
      </w:tr>
      <w:tr>
        <w:tc>
          <w:tcPr>
            <w:tcW w:type="dxa" w:w="216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r>
              <w:rPr>
                <w:rFonts w:ascii="Arial" w:cs="Arial" w:eastAsia="Arial" w:hAnsi="Arial"/>
                <w:b/>
                <w:bCs/>
                <w:color w:val="1F3864"/>
                <w:sz w:val="20"/>
                <w:szCs w:val="20"/>
              </w:rPr>
              <w:t xml:space="preserve">Man’s Search for Meaning
Closing — final sentence</w:t>
            </w:r>
          </w:p>
        </w:tc>
        <w:tc>
          <w:tcPr>
            <w:tcW w:type="dxa" w:w="720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111111"/>
                <w:sz w:val="20"/>
                <w:szCs w:val="20"/>
              </w:rPr>
              <w:t xml:space="preserve">“You have been doing that for a long time. The next chapter is simply the continuation of it.”
The humility element here is in what is not promised — no transformation, no breakthrough, no arrival. The next chapter is continuous with the character already formed. This is the most honest and the most genuinely hopeful thing the entry could say.</w:t>
            </w:r>
          </w:p>
        </w:tc>
      </w:tr>
      <w:tr>
        <w:tc>
          <w:tcPr>
            <w:tcW w:type="dxa" w:w="216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r>
              <w:rPr>
                <w:rFonts w:ascii="Arial" w:cs="Arial" w:eastAsia="Arial" w:hAnsi="Arial"/>
                <w:b/>
                <w:bCs/>
                <w:color w:val="1F3864"/>
                <w:sz w:val="20"/>
                <w:szCs w:val="20"/>
              </w:rPr>
              <w:t xml:space="preserve">Meditations
Closing — final paragraph</w:t>
            </w:r>
          </w:p>
        </w:tc>
        <w:tc>
          <w:tcPr>
            <w:tcW w:type="dxa" w:w="720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111111"/>
                <w:sz w:val="20"/>
                <w:szCs w:val="20"/>
              </w:rPr>
              <w:t xml:space="preserve">“Those questions are as old as the Roman empire. They outlasted it. They will outlast the rank, too.”
The structure earns its weight: ancient → empire fell → questions persisted → rank will fall → questions persist. The parallel is compressed into three sentences. The reader leaves thinking about permanence and their own continuity, not about the book.</w:t>
            </w:r>
          </w:p>
        </w:tc>
      </w:tr>
    </w:tbl>
    <w:p>
      <w:pPr>
        <w:spacing w:after="0" w:before="100"/>
      </w:pPr>
    </w:p>
    <w:p>
      <w:pPr>
        <w:spacing w:after="100" w:before="260"/>
      </w:pPr>
      <w:r>
        <w:rPr>
          <w:rFonts w:ascii="Arial" w:cs="Arial" w:eastAsia="Arial" w:hAnsi="Arial"/>
          <w:b/>
          <w:bCs/>
          <w:color w:val="1F3864"/>
          <w:sz w:val="26"/>
          <w:szCs w:val="26"/>
        </w:rPr>
        <w:t xml:space="preserve">3.6  Related Books — Specificity of Connection Descriptions</w:t>
      </w:r>
    </w:p>
    <w:p>
      <w:pPr>
        <w:spacing w:after="140" w:before="0"/>
        <w:jc w:val="left"/>
      </w:pPr>
      <w:r>
        <w:rPr>
          <w:rFonts w:ascii="Arial" w:cs="Arial" w:eastAsia="Arial" w:hAnsi="Arial"/>
          <w:b w:val="false"/>
          <w:bCs w:val="false"/>
          <w:i w:val="false"/>
          <w:iCs w:val="false"/>
          <w:sz w:val="22"/>
          <w:szCs w:val="22"/>
        </w:rPr>
        <w:t xml:space="preserve">All three entries avoid the primary failure mode for this section (vague thematic statements) and provide genuine relationship descriptions. The highest-quality descriptions identify what each related book does in relation to the entry book — not just what the related book is about.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1F3864" w:sz="4"/>
              <w:left w:val="single" w:color="1F3864" w:sz="4"/>
              <w:bottom w:val="single" w:color="1F3864" w:sz="4"/>
              <w:right w:val="single" w:color="1F3864" w:sz="4"/>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Source</w:t>
            </w:r>
          </w:p>
        </w:tc>
        <w:tc>
          <w:tcPr>
            <w:tcW w:type="dxa" w:w="7200"/>
            <w:tcBorders>
              <w:top w:val="single" w:color="1F3864" w:sz="4"/>
              <w:left w:val="single" w:color="1F3864" w:sz="4"/>
              <w:bottom w:val="single" w:color="1F3864" w:sz="4"/>
              <w:right w:val="single" w:color="1F3864" w:sz="4"/>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Finding / Evidence</w:t>
            </w:r>
          </w:p>
        </w:tc>
      </w:tr>
      <w:tr>
        <w:tc>
          <w:tcPr>
            <w:tcW w:type="dxa" w:w="216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r>
              <w:rPr>
                <w:rFonts w:ascii="Arial" w:cs="Arial" w:eastAsia="Arial" w:hAnsi="Arial"/>
                <w:b/>
                <w:bCs/>
                <w:color w:val="1F3864"/>
                <w:sz w:val="20"/>
                <w:szCs w:val="20"/>
              </w:rPr>
              <w:t xml:space="preserve">MSfM → Ego Is the Enemy</w:t>
            </w:r>
          </w:p>
        </w:tc>
        <w:tc>
          <w:tcPr>
            <w:tcW w:type="dxa" w:w="720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111111"/>
                <w:sz w:val="20"/>
                <w:szCs w:val="20"/>
              </w:rPr>
              <w:t xml:space="preserve">“The operational companion to this entry — where Frankl shows what identity rooted in meaning makes possible, Holiday shows specifically how to dismantle the ego-identity that will otherwise make transition unnecessarily painful.”
This description is specific to the relationship between the two books, not to either book in isolation. A reader who has read Frankl and not Holiday knows exactly what Holiday will add.</w:t>
            </w:r>
          </w:p>
        </w:tc>
      </w:tr>
      <w:tr>
        <w:tc>
          <w:tcPr>
            <w:tcW w:type="dxa" w:w="216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r>
              <w:rPr>
                <w:rFonts w:ascii="Arial" w:cs="Arial" w:eastAsia="Arial" w:hAnsi="Arial"/>
                <w:b/>
                <w:bCs/>
                <w:color w:val="1F3864"/>
                <w:sz w:val="20"/>
                <w:szCs w:val="20"/>
              </w:rPr>
              <w:t xml:space="preserve">Meditations → Extreme Ownership</w:t>
            </w:r>
          </w:p>
        </w:tc>
        <w:tc>
          <w:tcPr>
            <w:tcW w:type="dxa" w:w="720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111111"/>
                <w:sz w:val="20"/>
                <w:szCs w:val="20"/>
              </w:rPr>
              <w:t xml:space="preserve">“The operational counterpart to Aurelius’s philosophical practice: where Meditations addresses the interior discipline of duty and character, Willink and Babin translate that same orientation into the concrete demands of military and organizational leadership.”
This description identifies the specific relationship (philosophical practice → operational translation) and names what distinguishes it from the other related books.</w:t>
            </w:r>
          </w:p>
        </w:tc>
      </w:tr>
      <w:tr>
        <w:tc>
          <w:tcPr>
            <w:tcW w:type="dxa" w:w="216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r>
              <w:rPr>
                <w:rFonts w:ascii="Arial" w:cs="Arial" w:eastAsia="Arial" w:hAnsi="Arial"/>
                <w:b/>
                <w:bCs/>
                <w:color w:val="1F3864"/>
                <w:sz w:val="20"/>
                <w:szCs w:val="20"/>
              </w:rPr>
              <w:t xml:space="preserve">Ego → Leaders Eat Last</w:t>
            </w:r>
          </w:p>
        </w:tc>
        <w:tc>
          <w:tcPr>
            <w:tcW w:type="dxa" w:w="720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111111"/>
                <w:sz w:val="20"/>
                <w:szCs w:val="20"/>
              </w:rPr>
              <w:t xml:space="preserve">“Addresses the communal dimension of what transition removes: the belonging, trust, and shared purpose that made the institutional identity feel so complete — and what building it outside the institution actually requires.”
Notice what this description does: it frames the book in terms of what the entry book left open (the communal dimension of ego-dependent identity), not in terms of what Sinek’s book is about in general.</w:t>
            </w:r>
          </w:p>
        </w:tc>
      </w:tr>
    </w:tbl>
    <w:p>
      <w:pPr>
        <w:spacing w:after="0" w:before="160"/>
      </w:pPr>
    </w:p>
    <w:p>
      <w:r>
        <w:br w:type="page"/>
      </w:r>
    </w:p>
    <w:p>
      <w:pPr>
        <w:pBdr>
          <w:bottom w:val="single" w:color="1F3864" w:sz="8" w:space="2"/>
        </w:pBdr>
        <w:spacing w:after="120" w:before="320"/>
      </w:pPr>
      <w:r>
        <w:rPr>
          <w:rFonts w:ascii="Arial" w:cs="Arial" w:eastAsia="Arial" w:hAnsi="Arial"/>
          <w:b/>
          <w:bCs/>
          <w:color w:val="1F3864"/>
          <w:sz w:val="32"/>
          <w:szCs w:val="32"/>
        </w:rPr>
        <w:t xml:space="preserve">4  ·  Weaknesses</w:t>
      </w:r>
    </w:p>
    <w:p>
      <w:pPr>
        <w:spacing w:after="140" w:before="0"/>
        <w:jc w:val="left"/>
      </w:pPr>
      <w:r>
        <w:rPr>
          <w:rFonts w:ascii="Arial" w:cs="Arial" w:eastAsia="Arial" w:hAnsi="Arial"/>
          <w:b w:val="false"/>
          <w:bCs w:val="false"/>
          <w:i w:val="false"/>
          <w:iCs w:val="false"/>
          <w:sz w:val="22"/>
          <w:szCs w:val="22"/>
        </w:rPr>
        <w:t xml:space="preserve">The weaknesses documented in this section are genuine deficiencies against the governing standards — not matters of stylistic preference. Each weakness is linked to the specific Blueprint or Cross-Book Wisdom Framework criterion it fails to satisfy. Revisions are specified in Section 6.</w:t>
      </w:r>
    </w:p>
    <w:p>
      <w:pPr>
        <w:spacing w:after="0" w:before="80"/>
      </w:pPr>
    </w:p>
    <w:p>
      <w:pPr>
        <w:spacing w:after="100" w:before="260"/>
      </w:pPr>
      <w:r>
        <w:rPr>
          <w:rFonts w:ascii="Arial" w:cs="Arial" w:eastAsia="Arial" w:hAnsi="Arial"/>
          <w:b/>
          <w:bCs/>
          <w:color w:val="1F3864"/>
          <w:sz w:val="26"/>
          <w:szCs w:val="26"/>
        </w:rPr>
        <w:t xml:space="preserve">4.1  Ego Is the Enemy — Closing Reflection, Sentence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FFD966" w:sz="8"/>
              <w:left w:val="single" w:color="FFD966" w:sz="8"/>
              <w:bottom w:val="single" w:color="FFD966" w:sz="8"/>
              <w:right w:val="none" w:color="FFFFFF" w:sz="0"/>
            </w:tcBorders>
            <w:shd w:fill="FFD966"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WEAK</w:t>
            </w:r>
          </w:p>
        </w:tc>
        <w:tc>
          <w:tcPr>
            <w:tcW w:type="dxa" w:w="8640"/>
            <w:tcBorders>
              <w:top w:val="single" w:color="FFD966" w:sz="8"/>
              <w:left w:val="none" w:color="FFFFFF" w:sz="0"/>
              <w:bottom w:val="single" w:color="FFD966" w:sz="8"/>
              <w:right w:val="single" w:color="FFD966" w:sz="8"/>
            </w:tcBorders>
            <w:shd w:fill="FFF2CC" w:val="clear"/>
            <w:tcMar>
              <w:top w:type="dxa" w:w="100"/>
              <w:left w:type="dxa" w:w="160"/>
              <w:bottom w:type="dxa" w:w="100"/>
              <w:right w:type="dxa" w:w="140"/>
            </w:tcMar>
          </w:tcPr>
          <w:p>
            <w:r>
              <w:rPr>
                <w:rFonts w:ascii="Arial" w:cs="Arial" w:eastAsia="Arial" w:hAnsi="Arial"/>
                <w:color w:val="7F6000"/>
                <w:sz w:val="21"/>
                <w:szCs w:val="21"/>
              </w:rPr>
              <w:t xml:space="preserve">Current: “The leaders who carry their effectiveness across the threshold are not the ones who had the least ego. They are the ones who learned to see it clearly. That clarity is available to you now.”
The first two sentences are strong. The third (“That clarity is available to you now”) is the weakest sentence in any closing across all three entries. It is not wrong — it is simply inert. It announces a conclusion rather than delivering one. The closing’s final impression should be an image, an observation, or a grounded truth — not a statement that the preceding insight is “available.” Compare to the Meditations closing (“They will outlast the rank, too”) or the MSfM closing (“The next chapter is simply the continuation of it”). Both of those end on something the reader carries away. “That clarity is available to you now” states a benefit rather than providing one.</w:t>
            </w:r>
          </w:p>
        </w:tc>
      </w:tr>
    </w:tbl>
    <w:p>
      <w:pPr>
        <w:spacing w:after="0" w:before="80"/>
      </w:pPr>
    </w:p>
    <w:p>
      <w:pPr>
        <w:spacing w:after="140" w:before="0"/>
        <w:jc w:val="left"/>
      </w:pPr>
      <w:r>
        <w:rPr>
          <w:rFonts w:ascii="Arial" w:cs="Arial" w:eastAsia="Arial" w:hAnsi="Arial"/>
          <w:b/>
          <w:bCs/>
          <w:i w:val="false"/>
          <w:iCs w:val="false"/>
          <w:sz w:val="22"/>
          <w:szCs w:val="22"/>
        </w:rPr>
        <w:t xml:space="preserve">Blueprint reference: </w:t>
      </w:r>
      <w:r>
        <w:rPr>
          <w:rFonts w:ascii="Arial" w:cs="Arial" w:eastAsia="Arial" w:hAnsi="Arial"/>
          <w:b w:val="false"/>
          <w:bCs w:val="false"/>
          <w:i w:val="false"/>
          <w:iCs w:val="false"/>
          <w:sz w:val="22"/>
          <w:szCs w:val="22"/>
        </w:rPr>
        <w:t xml:space="preserve">Section 7, Closing Reflection — “Read the closing aloud. If it sounds like a motivational poster, rewrite it. If it sounds like an experienced person speaking honestly to someone they respect, it is right.” The final sentence currently reads like the conclusion of a self-help passage, not like an experienced leader’s send-off.</w:t>
      </w:r>
    </w:p>
    <w:p>
      <w:pPr>
        <w:spacing w:after="0" w:before="100"/>
      </w:pPr>
    </w:p>
    <w:p>
      <w:pPr>
        <w:spacing w:after="100" w:before="260"/>
      </w:pPr>
      <w:r>
        <w:rPr>
          <w:rFonts w:ascii="Arial" w:cs="Arial" w:eastAsia="Arial" w:hAnsi="Arial"/>
          <w:b/>
          <w:bCs/>
          <w:color w:val="1F3864"/>
          <w:sz w:val="26"/>
          <w:szCs w:val="26"/>
        </w:rPr>
        <w:t xml:space="preserve">4.2  Ego Is the Enemy — Reflection Questions, Purpose &amp; Legacy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FFD966" w:sz="8"/>
              <w:left w:val="single" w:color="FFD966" w:sz="8"/>
              <w:bottom w:val="single" w:color="FFD966" w:sz="8"/>
              <w:right w:val="none" w:color="FFFFFF" w:sz="0"/>
            </w:tcBorders>
            <w:shd w:fill="FFD966"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WEAK</w:t>
            </w:r>
          </w:p>
        </w:tc>
        <w:tc>
          <w:tcPr>
            <w:tcW w:type="dxa" w:w="8640"/>
            <w:tcBorders>
              <w:top w:val="single" w:color="FFD966" w:sz="8"/>
              <w:left w:val="none" w:color="FFFFFF" w:sz="0"/>
              <w:bottom w:val="single" w:color="FFD966" w:sz="8"/>
              <w:right w:val="single" w:color="FFD966" w:sz="8"/>
            </w:tcBorders>
            <w:shd w:fill="FFF2CC" w:val="clear"/>
            <w:tcMar>
              <w:top w:type="dxa" w:w="100"/>
              <w:left w:type="dxa" w:w="160"/>
              <w:bottom w:type="dxa" w:w="100"/>
              <w:right w:type="dxa" w:w="140"/>
            </w:tcMar>
          </w:tcPr>
          <w:p>
            <w:r>
              <w:rPr>
                <w:rFonts w:ascii="Arial" w:cs="Arial" w:eastAsia="Arial" w:hAnsi="Arial"/>
                <w:color w:val="7F6000"/>
                <w:sz w:val="21"/>
                <w:szCs w:val="21"/>
              </w:rPr>
              <w:t xml:space="preserve">Current: “The canvas strategy — contributing without requiring recognition — is the positive discipline Holiday offers against ego. What would it look like for you to apply that discipline in the next chapter? Who are the people whose work you could support, amplify, or advance without it needing to reflect on you?”
This question contains an embedded assumption: that the reader is in a position where they have people whose work they can support, amplify, or advance. That presupposes either a team context or an established post-transition role. The Blueprint explicitly prohibits questions that “presuppose a specific transition stage.” A reader who is still active-duty, recently separated and without a team, or in an individual-contributor role may find the second question inapplicable.
The first question (“What would it look like for you to apply that discipline in the next chapter?”) is strong — it is open enough to apply to any transition stage. The second question narrows it unnecessarily.</w:t>
            </w:r>
          </w:p>
        </w:tc>
      </w:tr>
    </w:tbl>
    <w:p>
      <w:pPr>
        <w:spacing w:after="0" w:before="80"/>
      </w:pPr>
    </w:p>
    <w:p>
      <w:pPr>
        <w:spacing w:after="140" w:before="0"/>
        <w:jc w:val="left"/>
      </w:pPr>
      <w:r>
        <w:rPr>
          <w:rFonts w:ascii="Arial" w:cs="Arial" w:eastAsia="Arial" w:hAnsi="Arial"/>
          <w:b/>
          <w:bCs/>
          <w:i w:val="false"/>
          <w:iCs w:val="false"/>
          <w:sz w:val="22"/>
          <w:szCs w:val="22"/>
        </w:rPr>
        <w:t xml:space="preserve">Blueprint reference: </w:t>
      </w:r>
      <w:r>
        <w:rPr>
          <w:rFonts w:ascii="Arial" w:cs="Arial" w:eastAsia="Arial" w:hAnsi="Arial"/>
          <w:b w:val="false"/>
          <w:bCs w:val="false"/>
          <w:i w:val="false"/>
          <w:iCs w:val="false"/>
          <w:sz w:val="22"/>
          <w:szCs w:val="22"/>
        </w:rPr>
        <w:t xml:space="preserve">Section 5, Reflection Questions — “Questions must apply whether the reader is active-duty, separating, or already out.”</w:t>
      </w:r>
    </w:p>
    <w:p>
      <w:pPr>
        <w:spacing w:after="0" w:before="100"/>
      </w:pPr>
    </w:p>
    <w:p>
      <w:pPr>
        <w:spacing w:after="100" w:before="260"/>
      </w:pPr>
      <w:r>
        <w:rPr>
          <w:rFonts w:ascii="Arial" w:cs="Arial" w:eastAsia="Arial" w:hAnsi="Arial"/>
          <w:b/>
          <w:bCs/>
          <w:color w:val="1F3864"/>
          <w:sz w:val="26"/>
          <w:szCs w:val="26"/>
        </w:rPr>
        <w:t xml:space="preserve">4.3  Meditations — Opening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FFD966" w:sz="8"/>
              <w:left w:val="single" w:color="FFD966" w:sz="8"/>
              <w:bottom w:val="single" w:color="FFD966" w:sz="8"/>
              <w:right w:val="none" w:color="FFFFFF" w:sz="0"/>
            </w:tcBorders>
            <w:shd w:fill="FFD966"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WEAK</w:t>
            </w:r>
          </w:p>
        </w:tc>
        <w:tc>
          <w:tcPr>
            <w:tcW w:type="dxa" w:w="8640"/>
            <w:tcBorders>
              <w:top w:val="single" w:color="FFD966" w:sz="8"/>
              <w:left w:val="none" w:color="FFFFFF" w:sz="0"/>
              <w:bottom w:val="single" w:color="FFD966" w:sz="8"/>
              <w:right w:val="single" w:color="FFD966" w:sz="8"/>
            </w:tcBorders>
            <w:shd w:fill="FFF2CC" w:val="clear"/>
            <w:tcMar>
              <w:top w:type="dxa" w:w="100"/>
              <w:left w:type="dxa" w:w="160"/>
              <w:bottom w:type="dxa" w:w="100"/>
              <w:right w:type="dxa" w:w="140"/>
            </w:tcMar>
          </w:tcPr>
          <w:p>
            <w:r>
              <w:rPr>
                <w:rFonts w:ascii="Arial" w:cs="Arial" w:eastAsia="Arial" w:hAnsi="Arial"/>
                <w:color w:val="7F6000"/>
                <w:sz w:val="21"/>
                <w:szCs w:val="21"/>
              </w:rPr>
              <w:t xml:space="preserve">Current: “Most leaders discover the fragility of rank-based identity at the moment the rank is removed. The discovery is not pleasant.”
This is a strong observation, but it opens on a general claim about “most leaders” rather than on the reader’s own experience. The Blueprint standard for the Opening Hook is that “the reader should recognize themselves in the first paragraph” — which requires the observation to be specific and personal enough that the reader is not positioned as an external observer of a general phenomenon but as someone already inside the experience being described.
Compare to the MSfM hook: “Somewhere between the decision to leave and the day it actually happens, the questions change.” That sentence puts the reader inside their own timeline. The Meditations hook opens with a third-person observation about leaders in general. It is not wrong, but it does not achieve the first-paragraph recognition that the two stronger hooks achieve.</w:t>
            </w:r>
          </w:p>
        </w:tc>
      </w:tr>
    </w:tbl>
    <w:p>
      <w:pPr>
        <w:spacing w:after="0" w:before="80"/>
      </w:pPr>
    </w:p>
    <w:p>
      <w:pPr>
        <w:spacing w:after="140" w:before="0"/>
        <w:jc w:val="left"/>
      </w:pPr>
      <w:r>
        <w:rPr>
          <w:rFonts w:ascii="Arial" w:cs="Arial" w:eastAsia="Arial" w:hAnsi="Arial"/>
          <w:b/>
          <w:bCs/>
          <w:i w:val="false"/>
          <w:iCs w:val="false"/>
          <w:sz w:val="22"/>
          <w:szCs w:val="22"/>
        </w:rPr>
        <w:t xml:space="preserve">Blueprint reference: </w:t>
      </w:r>
      <w:r>
        <w:rPr>
          <w:rFonts w:ascii="Arial" w:cs="Arial" w:eastAsia="Arial" w:hAnsi="Arial"/>
          <w:b w:val="false"/>
          <w:bCs w:val="false"/>
          <w:i w:val="false"/>
          <w:iCs w:val="false"/>
          <w:sz w:val="22"/>
          <w:szCs w:val="22"/>
        </w:rPr>
        <w:t xml:space="preserve">Section 1, Opening Hook — “An observation about the transition experience that the reader will recognize as their own.” The word “own” is doing specific work here: the observation must feel personal, not descriptive of a class of people the reader belongs to.</w:t>
      </w:r>
    </w:p>
    <w:p>
      <w:pPr>
        <w:spacing w:after="0" w:before="100"/>
      </w:pPr>
    </w:p>
    <w:p>
      <w:pPr>
        <w:spacing w:after="100" w:before="260"/>
      </w:pPr>
      <w:r>
        <w:rPr>
          <w:rFonts w:ascii="Arial" w:cs="Arial" w:eastAsia="Arial" w:hAnsi="Arial"/>
          <w:b/>
          <w:bCs/>
          <w:color w:val="1F3864"/>
          <w:sz w:val="26"/>
          <w:szCs w:val="26"/>
        </w:rPr>
        <w:t xml:space="preserve">4.4  Related Books — Word Count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FFD966" w:sz="8"/>
              <w:left w:val="single" w:color="FFD966" w:sz="8"/>
              <w:bottom w:val="single" w:color="FFD966" w:sz="8"/>
              <w:right w:val="none" w:color="FFFFFF" w:sz="0"/>
            </w:tcBorders>
            <w:shd w:fill="FFD966"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WEAK</w:t>
            </w:r>
          </w:p>
        </w:tc>
        <w:tc>
          <w:tcPr>
            <w:tcW w:type="dxa" w:w="8640"/>
            <w:tcBorders>
              <w:top w:val="single" w:color="FFD966" w:sz="8"/>
              <w:left w:val="none" w:color="FFFFFF" w:sz="0"/>
              <w:bottom w:val="single" w:color="FFD966" w:sz="8"/>
              <w:right w:val="single" w:color="FFD966" w:sz="8"/>
            </w:tcBorders>
            <w:shd w:fill="FFF2CC" w:val="clear"/>
            <w:tcMar>
              <w:top w:type="dxa" w:w="100"/>
              <w:left w:type="dxa" w:w="160"/>
              <w:bottom w:type="dxa" w:w="100"/>
              <w:right w:type="dxa" w:w="140"/>
            </w:tcMar>
          </w:tcPr>
          <w:p>
            <w:r>
              <w:rPr>
                <w:rFonts w:ascii="Arial" w:cs="Arial" w:eastAsia="Arial" w:hAnsi="Arial"/>
                <w:color w:val="7F6000"/>
                <w:sz w:val="21"/>
                <w:szCs w:val="21"/>
              </w:rPr>
              <w:t xml:space="preserve">Blueprint specification: Each related book description must be one sentence, maximum 20 words.
Violations in current v2.0 entries:
• MSfM → Meditations: “The most direct historical echo in the library: Aurelius reaches the same conclusion about interior freedom from an entirely different century and set of circumstances, providing independent verification that Frankl’s insight is not personal or cultural but universal.” = 36 words.
• Meditations → Frankl: “The most important cross-tradition convergence in the library: Frankl arrives at the same claim about interior freedom from the opposite end of human experience, providing independent confirmation that Aurelius’s philosophy is not Roman or ancient but human.” = 38 words.
Both descriptions are well-written and specific. The problem is not quality — it is that establishing a 20-word maximum and then exceeding it by 80–90% in the Gold Standard entries signals to every future editor that the limit is advisory rather than binding. The descriptions must be tightened.</w:t>
            </w:r>
          </w:p>
        </w:tc>
      </w:tr>
    </w:tbl>
    <w:p>
      <w:pPr>
        <w:spacing w:after="0" w:before="80"/>
      </w:pPr>
    </w:p>
    <w:p>
      <w:pPr>
        <w:spacing w:after="140" w:before="0"/>
        <w:jc w:val="left"/>
      </w:pPr>
      <w:r>
        <w:rPr>
          <w:rFonts w:ascii="Arial" w:cs="Arial" w:eastAsia="Arial" w:hAnsi="Arial"/>
          <w:b/>
          <w:bCs/>
          <w:i w:val="false"/>
          <w:iCs w:val="false"/>
          <w:sz w:val="22"/>
          <w:szCs w:val="22"/>
        </w:rPr>
        <w:t xml:space="preserve">Blueprint reference: </w:t>
      </w:r>
      <w:r>
        <w:rPr>
          <w:rFonts w:ascii="Arial" w:cs="Arial" w:eastAsia="Arial" w:hAnsi="Arial"/>
          <w:b w:val="false"/>
          <w:bCs w:val="false"/>
          <w:i w:val="false"/>
          <w:iCs w:val="false"/>
          <w:sz w:val="22"/>
          <w:szCs w:val="22"/>
        </w:rPr>
        <w:t xml:space="preserve">Section 8, Related Books — “title, author, and one sentence (maximum 20 words) explaining why the connection is meaningful for this reader.”</w:t>
      </w:r>
    </w:p>
    <w:p>
      <w:pPr>
        <w:spacing w:after="0" w:before="160"/>
      </w:pPr>
    </w:p>
    <w:p>
      <w:r>
        <w:br w:type="page"/>
      </w:r>
    </w:p>
    <w:p>
      <w:pPr>
        <w:pBdr>
          <w:bottom w:val="single" w:color="1F3864" w:sz="8" w:space="2"/>
        </w:pBdr>
        <w:spacing w:after="120" w:before="320"/>
      </w:pPr>
      <w:r>
        <w:rPr>
          <w:rFonts w:ascii="Arial" w:cs="Arial" w:eastAsia="Arial" w:hAnsi="Arial"/>
          <w:b/>
          <w:bCs/>
          <w:color w:val="1F3864"/>
          <w:sz w:val="32"/>
          <w:szCs w:val="32"/>
        </w:rPr>
        <w:t xml:space="preserve">5  ·  Voice Drift</w:t>
      </w:r>
    </w:p>
    <w:p>
      <w:pPr>
        <w:spacing w:after="140" w:before="0"/>
        <w:jc w:val="left"/>
      </w:pPr>
      <w:r>
        <w:rPr>
          <w:rFonts w:ascii="Arial" w:cs="Arial" w:eastAsia="Arial" w:hAnsi="Arial"/>
          <w:b w:val="false"/>
          <w:bCs w:val="false"/>
          <w:i w:val="false"/>
          <w:iCs w:val="false"/>
          <w:sz w:val="22"/>
          <w:szCs w:val="22"/>
        </w:rPr>
        <w:t xml:space="preserve">Voice drift is the gradual departure from the platform’s established register — the experienced-leader-speaking-honestly-to-a-peer standard defined in the Voice &amp; Style Guide. Drift is most dangerous in Gold Standard entries because future editors will internalize whatever register they find in these documents, including its deviations. The four drift instances identified below are minor but must be corrected before designation.</w:t>
      </w:r>
    </w:p>
    <w:p>
      <w:pPr>
        <w:spacing w:after="0" w:before="80"/>
      </w:pPr>
    </w:p>
    <w:p>
      <w:pPr>
        <w:spacing w:after="100" w:before="260"/>
      </w:pPr>
      <w:r>
        <w:rPr>
          <w:rFonts w:ascii="Arial" w:cs="Arial" w:eastAsia="Arial" w:hAnsi="Arial"/>
          <w:b/>
          <w:bCs/>
          <w:color w:val="1F3864"/>
          <w:sz w:val="26"/>
          <w:szCs w:val="26"/>
        </w:rPr>
        <w:t xml:space="preserve">5.1  Meditations — Practical Applications, Item 1 — Observation Embedded as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FFD966" w:sz="8"/>
              <w:left w:val="single" w:color="FFD966" w:sz="8"/>
              <w:bottom w:val="single" w:color="FFD966" w:sz="8"/>
              <w:right w:val="none" w:color="FFFFFF" w:sz="0"/>
            </w:tcBorders>
            <w:shd w:fill="FFD966"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DRIFT</w:t>
            </w:r>
          </w:p>
        </w:tc>
        <w:tc>
          <w:tcPr>
            <w:tcW w:type="dxa" w:w="8640"/>
            <w:tcBorders>
              <w:top w:val="single" w:color="FFD966" w:sz="8"/>
              <w:left w:val="none" w:color="FFFFFF" w:sz="0"/>
              <w:bottom w:val="single" w:color="FFD966" w:sz="8"/>
              <w:right w:val="single" w:color="FFD966" w:sz="8"/>
            </w:tcBorders>
            <w:shd w:fill="FFF2CC" w:val="clear"/>
            <w:tcMar>
              <w:top w:type="dxa" w:w="100"/>
              <w:left w:type="dxa" w:w="160"/>
              <w:bottom w:type="dxa" w:w="100"/>
              <w:right w:type="dxa" w:w="140"/>
            </w:tcMar>
          </w:tcPr>
          <w:p>
            <w:r>
              <w:rPr>
                <w:rFonts w:ascii="Arial" w:cs="Arial" w:eastAsia="Arial" w:hAnsi="Arial"/>
                <w:color w:val="7F6000"/>
                <w:sz w:val="21"/>
                <w:szCs w:val="21"/>
              </w:rPr>
              <w:t xml:space="preserve">Current: “Read the Meditations differently than you read other books. Choose a single short passage — often just a sentence or two — and carry it through a day. Not as a motivational quote. As a test: where does it hold and where does it break under the actual conditions of your life?”
This is an excellent observation about how to engage with the Meditations. But it is not a Practical Application in the Blueprint’s sense — it is a reading instruction that tells the reader how to use the book rather than how to apply the book’s framework to their own situation. The Blueprint’s format requirement specifies “Numbered list, each item beginning with an action verb or a specific directive” and requires “at least one application specific to the transition experience (identity, career change, civilian integration, retirement planning).” Reading the Meditations does not meet that requirement because it presupposes the book is still being read rather than has been read.
This is mild drift toward a book-promotion voice: “here is how to get the most out of this book” rather than “here is how to apply what this book taught.”</w:t>
            </w:r>
          </w:p>
        </w:tc>
      </w:tr>
    </w:tbl>
    <w:p>
      <w:pPr>
        <w:spacing w:after="0" w:before="100"/>
      </w:pPr>
    </w:p>
    <w:p>
      <w:pPr>
        <w:spacing w:after="100" w:before="260"/>
      </w:pPr>
      <w:r>
        <w:rPr>
          <w:rFonts w:ascii="Arial" w:cs="Arial" w:eastAsia="Arial" w:hAnsi="Arial"/>
          <w:b/>
          <w:bCs/>
          <w:color w:val="1F3864"/>
          <w:sz w:val="26"/>
          <w:szCs w:val="26"/>
        </w:rPr>
        <w:t xml:space="preserve">5.2  Man’s Search for Meaning — Commentary ¶ 1 — Slight Tonal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FFD966" w:sz="8"/>
              <w:left w:val="single" w:color="FFD966" w:sz="8"/>
              <w:bottom w:val="single" w:color="FFD966" w:sz="8"/>
              <w:right w:val="none" w:color="FFFFFF" w:sz="0"/>
            </w:tcBorders>
            <w:shd w:fill="FFD966"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DRIFT</w:t>
            </w:r>
          </w:p>
        </w:tc>
        <w:tc>
          <w:tcPr>
            <w:tcW w:type="dxa" w:w="8640"/>
            <w:tcBorders>
              <w:top w:val="single" w:color="FFD966" w:sz="8"/>
              <w:left w:val="none" w:color="FFFFFF" w:sz="0"/>
              <w:bottom w:val="single" w:color="FFD966" w:sz="8"/>
              <w:right w:val="single" w:color="FFD966" w:sz="8"/>
            </w:tcBorders>
            <w:shd w:fill="FFF2CC" w:val="clear"/>
            <w:tcMar>
              <w:top w:type="dxa" w:w="100"/>
              <w:left w:type="dxa" w:w="160"/>
              <w:bottom w:type="dxa" w:w="100"/>
              <w:right w:type="dxa" w:w="140"/>
            </w:tcMar>
          </w:tcPr>
          <w:p>
            <w:r>
              <w:rPr>
                <w:rFonts w:ascii="Arial" w:cs="Arial" w:eastAsia="Arial" w:hAnsi="Arial"/>
                <w:color w:val="7F6000"/>
                <w:sz w:val="21"/>
                <w:szCs w:val="21"/>
              </w:rPr>
              <w:t xml:space="preserve">Current: “Military transition is not, at its core, a career problem. It is an identity problem.”
This is one of the strongest opening sentences in the Commentary section of any entry. The drift is not in the sentence itself but in the pattern it establishes: the paragraph that follows uses four short declarative sentences in a row (“The mission was assigned. The belonging was structural. The values were codified. That is not a weakness.”) that create a rhythmic emphasis bordering on rhetorical. The Blueprint standard is “vary sentence length deliberately. Clusters of short sentences signal the writing has gone blunt.” At this specific moment, the writing achieves its effect precisely — but if future editors read these four sentences as the platform’s register rather than as a deliberate structural choice, they will produce entries that sound like speeches rather than conversations. The Gold Standard documentation should annotate this as intentional rather than incidental.</w:t>
            </w:r>
          </w:p>
        </w:tc>
      </w:tr>
    </w:tbl>
    <w:p>
      <w:pPr>
        <w:spacing w:after="0" w:before="100"/>
      </w:pPr>
    </w:p>
    <w:p>
      <w:pPr>
        <w:spacing w:after="100" w:before="260"/>
      </w:pPr>
      <w:r>
        <w:rPr>
          <w:rFonts w:ascii="Arial" w:cs="Arial" w:eastAsia="Arial" w:hAnsi="Arial"/>
          <w:b/>
          <w:bCs/>
          <w:color w:val="1F3864"/>
          <w:sz w:val="26"/>
          <w:szCs w:val="26"/>
        </w:rPr>
        <w:t xml:space="preserve">5.3  Ego Is the Enemy — Practical Applications, Item 5 — Reading Instruction Residue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FFD966" w:sz="8"/>
              <w:left w:val="single" w:color="FFD966" w:sz="8"/>
              <w:bottom w:val="single" w:color="FFD966" w:sz="8"/>
              <w:right w:val="none" w:color="FFFFFF" w:sz="0"/>
            </w:tcBorders>
            <w:shd w:fill="FFD966"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DRIFT</w:t>
            </w:r>
          </w:p>
        </w:tc>
        <w:tc>
          <w:tcPr>
            <w:tcW w:type="dxa" w:w="8640"/>
            <w:tcBorders>
              <w:top w:val="single" w:color="FFD966" w:sz="8"/>
              <w:left w:val="none" w:color="FFFFFF" w:sz="0"/>
              <w:bottom w:val="single" w:color="FFD966" w:sz="8"/>
              <w:right w:val="single" w:color="FFD966" w:sz="8"/>
            </w:tcBorders>
            <w:shd w:fill="FFF2CC" w:val="clear"/>
            <w:tcMar>
              <w:top w:type="dxa" w:w="100"/>
              <w:left w:type="dxa" w:w="160"/>
              <w:bottom w:type="dxa" w:w="100"/>
              <w:right w:type="dxa" w:w="140"/>
            </w:tcMar>
          </w:tcPr>
          <w:p>
            <w:r>
              <w:rPr>
                <w:rFonts w:ascii="Arial" w:cs="Arial" w:eastAsia="Arial" w:hAnsi="Arial"/>
                <w:color w:val="7F6000"/>
                <w:sz w:val="21"/>
                <w:szCs w:val="21"/>
              </w:rPr>
              <w:t xml:space="preserve">Current: “Read this book in sequence with Man’s Search for Meaning and Meditations. Holiday’s diagnosis lands differently when the reader already has Frankl’s framework...”
This was flagged in the previous review as a reading instruction rather than a Practical Application. The revision preserved the substance but retained the form: the item still leads with “Read this book in sequence” rather than with an action the reader can take right now using the framework they have just studied. The Blueprint specifies “an action verb or a specific directive” — reading a different book is a consumption directive, not an application directive. The observation embedded in the item (that the identity trilogy works as a cumulative argument) is valuable and accurate; it needs to be reframed as an action the reader takes, not as a reading recommendation.</w:t>
            </w:r>
          </w:p>
        </w:tc>
      </w:tr>
    </w:tbl>
    <w:p>
      <w:pPr>
        <w:spacing w:after="0" w:before="100"/>
      </w:pPr>
    </w:p>
    <w:p>
      <w:pPr>
        <w:spacing w:after="100" w:before="260"/>
      </w:pPr>
      <w:r>
        <w:rPr>
          <w:rFonts w:ascii="Arial" w:cs="Arial" w:eastAsia="Arial" w:hAnsi="Arial"/>
          <w:b/>
          <w:bCs/>
          <w:color w:val="1F3864"/>
          <w:sz w:val="26"/>
          <w:szCs w:val="26"/>
        </w:rPr>
        <w:t xml:space="preserve">5.4  Across All Three Entries — “It Is Not X. It Is Y.”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FFD966" w:sz="8"/>
              <w:left w:val="single" w:color="FFD966" w:sz="8"/>
              <w:bottom w:val="single" w:color="FFD966" w:sz="8"/>
              <w:right w:val="none" w:color="FFFFFF" w:sz="0"/>
            </w:tcBorders>
            <w:shd w:fill="FFD966"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DRIFT</w:t>
            </w:r>
          </w:p>
        </w:tc>
        <w:tc>
          <w:tcPr>
            <w:tcW w:type="dxa" w:w="8640"/>
            <w:tcBorders>
              <w:top w:val="single" w:color="FFD966" w:sz="8"/>
              <w:left w:val="none" w:color="FFFFFF" w:sz="0"/>
              <w:bottom w:val="single" w:color="FFD966" w:sz="8"/>
              <w:right w:val="single" w:color="FFD966" w:sz="8"/>
            </w:tcBorders>
            <w:shd w:fill="FFF2CC" w:val="clear"/>
            <w:tcMar>
              <w:top w:type="dxa" w:w="100"/>
              <w:left w:type="dxa" w:w="160"/>
              <w:bottom w:type="dxa" w:w="100"/>
              <w:right w:type="dxa" w:w="140"/>
            </w:tcMar>
          </w:tcPr>
          <w:p>
            <w:r>
              <w:rPr>
                <w:rFonts w:ascii="Arial" w:cs="Arial" w:eastAsia="Arial" w:hAnsi="Arial"/>
                <w:color w:val="7F6000"/>
                <w:sz w:val="21"/>
                <w:szCs w:val="21"/>
              </w:rPr>
              <w:t xml:space="preserve">The three-sentence pattern “It is not [X]. It is [Y]. [Brief expansion].” appears multiple times across all three entries:
• MSfM Commentary: “Most transition resources are built around the assumption that the problem is practical. Frankl’s book is built around the assumption that the problem is existential.”
• Meditations Analysis: “This is not passivity — Aurelius was one of the most active emperors in Roman history. It is a refusal to base one’s equanimity on conditions that can change.”
• Ego Commentary: “The ego was not a flaw. It was a reasonable construction from the available materials.”
Each individual instance is effective. The pattern itself is not a problem when used deliberately and sparingly. The risk for Gold Standard designation is that future editors may adopt this three-sentence structure as a formula — a verbal habit that produces the sound of insight without requiring the work of insight. The Gold Standard documentation should flag this pattern explicitly: use it no more than once per section, and only when the contrasting pair genuinely carries new information.</w:t>
            </w:r>
          </w:p>
        </w:tc>
      </w:tr>
    </w:tbl>
    <w:p>
      <w:pPr>
        <w:spacing w:after="0" w:before="160"/>
      </w:pPr>
    </w:p>
    <w:p>
      <w:r>
        <w:br w:type="page"/>
      </w:r>
    </w:p>
    <w:p>
      <w:pPr>
        <w:pBdr>
          <w:bottom w:val="single" w:color="1F3864" w:sz="8" w:space="2"/>
        </w:pBdr>
        <w:spacing w:after="120" w:before="320"/>
      </w:pPr>
      <w:r>
        <w:rPr>
          <w:rFonts w:ascii="Arial" w:cs="Arial" w:eastAsia="Arial" w:hAnsi="Arial"/>
          <w:b/>
          <w:bCs/>
          <w:color w:val="1F3864"/>
          <w:sz w:val="32"/>
          <w:szCs w:val="32"/>
        </w:rPr>
        <w:t xml:space="preserve">6  ·  Recurring Writing Patterns</w:t>
      </w:r>
    </w:p>
    <w:p>
      <w:pPr>
        <w:spacing w:after="140" w:before="0"/>
        <w:jc w:val="left"/>
      </w:pPr>
      <w:r>
        <w:rPr>
          <w:rFonts w:ascii="Arial" w:cs="Arial" w:eastAsia="Arial" w:hAnsi="Arial"/>
          <w:b w:val="false"/>
          <w:bCs w:val="false"/>
          <w:i w:val="false"/>
          <w:iCs w:val="false"/>
          <w:sz w:val="22"/>
          <w:szCs w:val="22"/>
        </w:rPr>
        <w:t xml:space="preserve">The following patterns appear consistently across the three entries. They are documented here as either positive patterns to encode in the Gold Standard or negative patterns to explicitly prohibit in future entries. The distinction matters: Gold Standard entries will be read by editors who will learn both what to do and, implicitly, what they can get away with. Every recurring weakness must be named and corrected before these entries become the reference standard.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600"/>
        <w:gridCol w:w="2880"/>
      </w:tblGrid>
      <w:tr>
        <w:tc>
          <w:tcPr>
            <w:tcW w:type="dxa" w:w="2880"/>
            <w:tcBorders>
              <w:top w:val="single" w:color="1F3864" w:sz="4"/>
              <w:left w:val="single" w:color="1F3864" w:sz="4"/>
              <w:bottom w:val="single" w:color="1F3864" w:sz="4"/>
              <w:right w:val="single" w:color="1F3864" w:sz="4"/>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Pattern</w:t>
            </w:r>
          </w:p>
        </w:tc>
        <w:tc>
          <w:tcPr>
            <w:tcW w:type="dxa" w:w="3600"/>
            <w:tcBorders>
              <w:top w:val="single" w:color="1F3864" w:sz="4"/>
              <w:left w:val="single" w:color="1F3864" w:sz="4"/>
              <w:bottom w:val="single" w:color="1F3864" w:sz="4"/>
              <w:right w:val="single" w:color="1F3864" w:sz="4"/>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Where It Appears</w:t>
            </w:r>
          </w:p>
        </w:tc>
        <w:tc>
          <w:tcPr>
            <w:tcW w:type="dxa" w:w="2880"/>
            <w:tcBorders>
              <w:top w:val="single" w:color="1F3864" w:sz="4"/>
              <w:left w:val="single" w:color="1F3864" w:sz="4"/>
              <w:bottom w:val="single" w:color="1F3864" w:sz="4"/>
              <w:right w:val="single" w:color="1F3864" w:sz="4"/>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Verdict</w:t>
            </w:r>
          </w:p>
        </w:tc>
      </w:tr>
      <w:tr>
        <w:tc>
          <w:tcPr>
            <w:tcW w:type="dxa" w:w="288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Military-specific naming of a failure mode before explaining it</w:t>
            </w:r>
          </w:p>
        </w:tc>
        <w:tc>
          <w:tcPr>
            <w:tcW w:type="dxa" w:w="360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444444"/>
                <w:sz w:val="18"/>
                <w:szCs w:val="18"/>
              </w:rPr>
              <w:t xml:space="preserve">Ego Commentary ¶ 1–2; MSfM Commentary ¶ 4; Meditations Commentary ¶ 1</w:t>
            </w:r>
          </w:p>
        </w:tc>
        <w:tc>
          <w:tcPr>
            <w:tcW w:type="dxa" w:w="28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ENCODE — Encourage</w:t>
            </w:r>
          </w:p>
        </w:tc>
      </w:tr>
      <w:tr>
        <w:tc>
          <w:tcPr>
            <w:tcW w:type="dxa" w:w="288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000000"/>
                <w:sz w:val="20"/>
                <w:szCs w:val="20"/>
              </w:rPr>
              <w:t xml:space="preserve">Limitations stated honestly in Book Analysis with redirection</w:t>
            </w:r>
          </w:p>
        </w:tc>
        <w:tc>
          <w:tcPr>
            <w:tcW w:type="dxa" w:w="360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444444"/>
                <w:sz w:val="18"/>
                <w:szCs w:val="18"/>
              </w:rPr>
              <w:t xml:space="preserve">MSfM Analysis ¶ 4; Meditations Analysis ¶ 4; Ego Analysis ¶ 3</w:t>
            </w:r>
          </w:p>
        </w:tc>
        <w:tc>
          <w:tcPr>
            <w:tcW w:type="dxa" w:w="28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ENCODE — Encourage</w:t>
            </w:r>
          </w:p>
        </w:tc>
      </w:tr>
      <w:tr>
        <w:tc>
          <w:tcPr>
            <w:tcW w:type="dxa" w:w="288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Synthesis observations that state what convergence reveals, not just that it exists</w:t>
            </w:r>
          </w:p>
        </w:tc>
        <w:tc>
          <w:tcPr>
            <w:tcW w:type="dxa" w:w="360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444444"/>
                <w:sz w:val="18"/>
                <w:szCs w:val="18"/>
              </w:rPr>
              <w:t xml:space="preserve">All 12 Cross-Book connections; most clearly in Ego → Frankl and Meditations → Frankl</w:t>
            </w:r>
          </w:p>
        </w:tc>
        <w:tc>
          <w:tcPr>
            <w:tcW w:type="dxa" w:w="28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ENCODE — Encourage</w:t>
            </w:r>
          </w:p>
        </w:tc>
      </w:tr>
      <w:tr>
        <w:tc>
          <w:tcPr>
            <w:tcW w:type="dxa" w:w="288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000000"/>
                <w:sz w:val="20"/>
                <w:szCs w:val="20"/>
              </w:rPr>
              <w:t xml:space="preserve">Closing ends on reader’s direction, not on the book’s value</w:t>
            </w:r>
          </w:p>
        </w:tc>
        <w:tc>
          <w:tcPr>
            <w:tcW w:type="dxa" w:w="360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444444"/>
                <w:sz w:val="18"/>
                <w:szCs w:val="18"/>
              </w:rPr>
              <w:t xml:space="preserve">MSfM Closing ¶ 3; Meditations Closing ¶ 3; Ego Closing ¶ 3 (partially)</w:t>
            </w:r>
          </w:p>
        </w:tc>
        <w:tc>
          <w:tcPr>
            <w:tcW w:type="dxa" w:w="28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ENCODE — Encourage</w:t>
            </w:r>
          </w:p>
        </w:tc>
      </w:tr>
      <w:tr>
        <w:tc>
          <w:tcPr>
            <w:tcW w:type="dxa" w:w="288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Tradition boundary crossings that name the cultural distance explicitly</w:t>
            </w:r>
          </w:p>
        </w:tc>
        <w:tc>
          <w:tcPr>
            <w:tcW w:type="dxa" w:w="360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444444"/>
                <w:sz w:val="18"/>
                <w:szCs w:val="18"/>
              </w:rPr>
              <w:t xml:space="preserve">MSfM → Confucius; Ego → Musashi; Meditations → Collins</w:t>
            </w:r>
          </w:p>
        </w:tc>
        <w:tc>
          <w:tcPr>
            <w:tcW w:type="dxa" w:w="28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ENCODE — Encourage</w:t>
            </w:r>
          </w:p>
        </w:tc>
      </w:tr>
      <w:tr>
        <w:tc>
          <w:tcPr>
            <w:tcW w:type="dxa" w:w="288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000000"/>
                <w:sz w:val="20"/>
                <w:szCs w:val="20"/>
              </w:rPr>
              <w:t xml:space="preserve">Section-opening italic subhead that frames without summarizing</w:t>
            </w:r>
          </w:p>
        </w:tc>
        <w:tc>
          <w:tcPr>
            <w:tcW w:type="dxa" w:w="360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444444"/>
                <w:sz w:val="18"/>
                <w:szCs w:val="18"/>
              </w:rPr>
              <w:t xml:space="preserve">All three entries, all sections; most effective in Ego Commentary and MSfM Cross-Book intro</w:t>
            </w:r>
          </w:p>
        </w:tc>
        <w:tc>
          <w:tcPr>
            <w:tcW w:type="dxa" w:w="28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ENCODE — Encourage</w:t>
            </w:r>
          </w:p>
        </w:tc>
      </w:tr>
      <w:tr>
        <w:tc>
          <w:tcPr>
            <w:tcW w:type="dxa" w:w="288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Commentary’s last paragraph naming an honest limitation of the book within its transition application</w:t>
            </w:r>
          </w:p>
        </w:tc>
        <w:tc>
          <w:tcPr>
            <w:tcW w:type="dxa" w:w="360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444444"/>
                <w:sz w:val="18"/>
                <w:szCs w:val="18"/>
              </w:rPr>
              <w:t xml:space="preserve">MSfM Commentary ¶ 5; Ego Commentary ¶ 5; Meditations Commentary ¶ 5</w:t>
            </w:r>
          </w:p>
        </w:tc>
        <w:tc>
          <w:tcPr>
            <w:tcW w:type="dxa" w:w="28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ENCODE — Encourage</w:t>
            </w:r>
          </w:p>
        </w:tc>
      </w:tr>
      <w:tr>
        <w:tc>
          <w:tcPr>
            <w:tcW w:type="dxa" w:w="288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000000"/>
                <w:sz w:val="20"/>
                <w:szCs w:val="20"/>
              </w:rPr>
              <w:t xml:space="preserve">Reflection questions that close with “what does your answer reveal” rather than just posing the question</w:t>
            </w:r>
          </w:p>
        </w:tc>
        <w:tc>
          <w:tcPr>
            <w:tcW w:type="dxa" w:w="360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444444"/>
                <w:sz w:val="18"/>
                <w:szCs w:val="18"/>
              </w:rPr>
              <w:t xml:space="preserve">MSfM Identity Q (“what does that reveal”); Meditations Identity Q (“what would you be left with”)</w:t>
            </w:r>
          </w:p>
        </w:tc>
        <w:tc>
          <w:tcPr>
            <w:tcW w:type="dxa" w:w="28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ENCODE — Encourage</w:t>
            </w:r>
          </w:p>
        </w:tc>
      </w:tr>
      <w:tr>
        <w:tc>
          <w:tcPr>
            <w:tcW w:type="dxa" w:w="288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“It is not X. It is Y.” three-sentence contrast structure</w:t>
            </w:r>
          </w:p>
        </w:tc>
        <w:tc>
          <w:tcPr>
            <w:tcW w:type="dxa" w:w="360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444444"/>
                <w:sz w:val="18"/>
                <w:szCs w:val="18"/>
              </w:rPr>
              <w:t xml:space="preserve">MSfM Commentary ¶ 2; Meditations Analysis ¶ 1 and ¶ 2; Ego Commentary ¶ 2 and ¶ 3</w:t>
            </w:r>
          </w:p>
        </w:tc>
        <w:tc>
          <w:tcPr>
            <w:tcW w:type="dxa" w:w="2880"/>
            <w:tcBorders>
              <w:top w:val="single" w:color="FF4B00" w:sz="4"/>
              <w:left w:val="single" w:color="FF4B00" w:sz="4"/>
              <w:bottom w:val="single" w:color="FF4B00" w:sz="4"/>
              <w:right w:val="single" w:color="FF4B00" w:sz="4"/>
            </w:tcBorders>
            <w:shd w:fill="FCE4D6" w:val="clear"/>
            <w:tcMar>
              <w:top w:type="dxa" w:w="70"/>
              <w:left w:type="dxa" w:w="110"/>
              <w:bottom w:type="dxa" w:w="70"/>
              <w:right w:type="dxa" w:w="110"/>
            </w:tcMar>
          </w:tcPr>
          <w:p>
            <w:pPr>
              <w:jc w:val="center"/>
            </w:pPr>
            <w:r>
              <w:rPr>
                <w:rFonts w:ascii="Arial" w:cs="Arial" w:eastAsia="Arial" w:hAnsi="Arial"/>
                <w:b/>
                <w:bCs/>
                <w:color w:val="843C0C"/>
                <w:sz w:val="18"/>
                <w:szCs w:val="18"/>
              </w:rPr>
              <w:t xml:space="preserve">PROHIBIT — Avoid</w:t>
            </w:r>
          </w:p>
        </w:tc>
      </w:tr>
      <w:tr>
        <w:tc>
          <w:tcPr>
            <w:tcW w:type="dxa" w:w="288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000000"/>
                <w:sz w:val="20"/>
                <w:szCs w:val="20"/>
              </w:rPr>
              <w:t xml:space="preserve">Practical Applications that function as reading instructions (how to read this book)</w:t>
            </w:r>
          </w:p>
        </w:tc>
        <w:tc>
          <w:tcPr>
            <w:tcW w:type="dxa" w:w="360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444444"/>
                <w:sz w:val="18"/>
                <w:szCs w:val="18"/>
              </w:rPr>
              <w:t xml:space="preserve">Meditations Apps · Item 1; Ego Apps · Item 5 (partially)</w:t>
            </w:r>
          </w:p>
        </w:tc>
        <w:tc>
          <w:tcPr>
            <w:tcW w:type="dxa" w:w="2880"/>
            <w:tcBorders>
              <w:top w:val="single" w:color="FF4B00" w:sz="4"/>
              <w:left w:val="single" w:color="FF4B00" w:sz="4"/>
              <w:bottom w:val="single" w:color="FF4B00" w:sz="4"/>
              <w:right w:val="single" w:color="FF4B00" w:sz="4"/>
            </w:tcBorders>
            <w:shd w:fill="FCE4D6" w:val="clear"/>
            <w:tcMar>
              <w:top w:type="dxa" w:w="70"/>
              <w:left w:type="dxa" w:w="110"/>
              <w:bottom w:type="dxa" w:w="70"/>
              <w:right w:type="dxa" w:w="110"/>
            </w:tcMar>
          </w:tcPr>
          <w:p>
            <w:pPr>
              <w:jc w:val="center"/>
            </w:pPr>
            <w:r>
              <w:rPr>
                <w:rFonts w:ascii="Arial" w:cs="Arial" w:eastAsia="Arial" w:hAnsi="Arial"/>
                <w:b/>
                <w:bCs/>
                <w:color w:val="843C0C"/>
                <w:sz w:val="18"/>
                <w:szCs w:val="18"/>
              </w:rPr>
              <w:t xml:space="preserve">PROHIBIT — Avoid</w:t>
            </w:r>
          </w:p>
        </w:tc>
      </w:tr>
      <w:tr>
        <w:tc>
          <w:tcPr>
            <w:tcW w:type="dxa" w:w="288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Related Book descriptions exceeding the 20-word limit</w:t>
            </w:r>
          </w:p>
        </w:tc>
        <w:tc>
          <w:tcPr>
            <w:tcW w:type="dxa" w:w="360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444444"/>
                <w:sz w:val="18"/>
                <w:szCs w:val="18"/>
              </w:rPr>
              <w:t xml:space="preserve">MSfM → Meditations (36 words); Meditations → Frankl (38 words)</w:t>
            </w:r>
          </w:p>
        </w:tc>
        <w:tc>
          <w:tcPr>
            <w:tcW w:type="dxa" w:w="2880"/>
            <w:tcBorders>
              <w:top w:val="single" w:color="FF4B00" w:sz="4"/>
              <w:left w:val="single" w:color="FF4B00" w:sz="4"/>
              <w:bottom w:val="single" w:color="FF4B00" w:sz="4"/>
              <w:right w:val="single" w:color="FF4B00" w:sz="4"/>
            </w:tcBorders>
            <w:shd w:fill="FCE4D6" w:val="clear"/>
            <w:tcMar>
              <w:top w:type="dxa" w:w="70"/>
              <w:left w:type="dxa" w:w="110"/>
              <w:bottom w:type="dxa" w:w="70"/>
              <w:right w:type="dxa" w:w="110"/>
            </w:tcMar>
          </w:tcPr>
          <w:p>
            <w:pPr>
              <w:jc w:val="center"/>
            </w:pPr>
            <w:r>
              <w:rPr>
                <w:rFonts w:ascii="Arial" w:cs="Arial" w:eastAsia="Arial" w:hAnsi="Arial"/>
                <w:b/>
                <w:bCs/>
                <w:color w:val="843C0C"/>
                <w:sz w:val="18"/>
                <w:szCs w:val="18"/>
              </w:rPr>
              <w:t xml:space="preserve">PROHIBIT — Avoid</w:t>
            </w:r>
          </w:p>
        </w:tc>
      </w:tr>
      <w:tr>
        <w:tc>
          <w:tcPr>
            <w:tcW w:type="dxa" w:w="288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000000"/>
                <w:sz w:val="20"/>
                <w:szCs w:val="20"/>
              </w:rPr>
              <w:t xml:space="preserve">Reflection questions with embedded assumptions about the reader’s transition stage</w:t>
            </w:r>
          </w:p>
        </w:tc>
        <w:tc>
          <w:tcPr>
            <w:tcW w:type="dxa" w:w="360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444444"/>
                <w:sz w:val="18"/>
                <w:szCs w:val="18"/>
              </w:rPr>
              <w:t xml:space="preserve">Ego Purpose &amp; Legacy Q (“people whose work you could support” presupposes a team context)</w:t>
            </w:r>
          </w:p>
        </w:tc>
        <w:tc>
          <w:tcPr>
            <w:tcW w:type="dxa" w:w="2880"/>
            <w:tcBorders>
              <w:top w:val="single" w:color="FF4B00" w:sz="4"/>
              <w:left w:val="single" w:color="FF4B00" w:sz="4"/>
              <w:bottom w:val="single" w:color="FF4B00" w:sz="4"/>
              <w:right w:val="single" w:color="FF4B00" w:sz="4"/>
            </w:tcBorders>
            <w:shd w:fill="FCE4D6" w:val="clear"/>
            <w:tcMar>
              <w:top w:type="dxa" w:w="70"/>
              <w:left w:type="dxa" w:w="110"/>
              <w:bottom w:type="dxa" w:w="70"/>
              <w:right w:type="dxa" w:w="110"/>
            </w:tcMar>
          </w:tcPr>
          <w:p>
            <w:pPr>
              <w:jc w:val="center"/>
            </w:pPr>
            <w:r>
              <w:rPr>
                <w:rFonts w:ascii="Arial" w:cs="Arial" w:eastAsia="Arial" w:hAnsi="Arial"/>
                <w:b/>
                <w:bCs/>
                <w:color w:val="843C0C"/>
                <w:sz w:val="18"/>
                <w:szCs w:val="18"/>
              </w:rPr>
              <w:t xml:space="preserve">PROHIBIT — Avoid</w:t>
            </w:r>
          </w:p>
        </w:tc>
      </w:tr>
      <w:tr>
        <w:tc>
          <w:tcPr>
            <w:tcW w:type="dxa" w:w="288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Cross-Book connection introductory paragraphs that frame the section’s intellectual position</w:t>
            </w:r>
          </w:p>
        </w:tc>
        <w:tc>
          <w:tcPr>
            <w:tcW w:type="dxa" w:w="360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444444"/>
                <w:sz w:val="18"/>
                <w:szCs w:val="18"/>
              </w:rPr>
              <w:t xml:space="preserve">MSfM Cross-Book intro; Meditations Cross-Book intro; Ego Cross-Book intro</w:t>
            </w:r>
          </w:p>
        </w:tc>
        <w:tc>
          <w:tcPr>
            <w:tcW w:type="dxa" w:w="28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ENCODE — Encourage</w:t>
            </w:r>
          </w:p>
        </w:tc>
      </w:tr>
      <w:tr>
        <w:tc>
          <w:tcPr>
            <w:tcW w:type="dxa" w:w="288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000000"/>
                <w:sz w:val="20"/>
                <w:szCs w:val="20"/>
              </w:rPr>
              <w:t xml:space="preserve">Opening hooks that lead with the reader’s experience rather than the book’s subject</w:t>
            </w:r>
          </w:p>
        </w:tc>
        <w:tc>
          <w:tcPr>
            <w:tcW w:type="dxa" w:w="360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444444"/>
                <w:sz w:val="18"/>
                <w:szCs w:val="18"/>
              </w:rPr>
              <w:t xml:space="preserve">MSfM Hook ¶ 1; Ego Hook ¶ 1–2</w:t>
            </w:r>
          </w:p>
        </w:tc>
        <w:tc>
          <w:tcPr>
            <w:tcW w:type="dxa" w:w="288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pPr>
              <w:jc w:val="center"/>
            </w:pPr>
            <w:r>
              <w:rPr>
                <w:rFonts w:ascii="Arial" w:cs="Arial" w:eastAsia="Arial" w:hAnsi="Arial"/>
                <w:b/>
                <w:bCs/>
                <w:color w:val="375623"/>
                <w:sz w:val="18"/>
                <w:szCs w:val="18"/>
              </w:rPr>
              <w:t xml:space="preserve">ENCODE — Encourage</w:t>
            </w:r>
          </w:p>
        </w:tc>
      </w:tr>
    </w:tbl>
    <w:p>
      <w:pPr>
        <w:spacing w:after="0" w:before="160"/>
      </w:pPr>
    </w:p>
    <w:p>
      <w:r>
        <w:br w:type="page"/>
      </w:r>
    </w:p>
    <w:p>
      <w:pPr>
        <w:pBdr>
          <w:bottom w:val="single" w:color="1F3864" w:sz="8" w:space="2"/>
        </w:pBdr>
        <w:spacing w:after="120" w:before="320"/>
      </w:pPr>
      <w:r>
        <w:rPr>
          <w:rFonts w:ascii="Arial" w:cs="Arial" w:eastAsia="Arial" w:hAnsi="Arial"/>
          <w:b/>
          <w:bCs/>
          <w:color w:val="1F3864"/>
          <w:sz w:val="32"/>
          <w:szCs w:val="32"/>
        </w:rPr>
        <w:t xml:space="preserve">7  ·  Required Revisions Before Gold Standard Designation</w:t>
      </w:r>
    </w:p>
    <w:p>
      <w:pPr>
        <w:spacing w:after="140" w:before="0"/>
        <w:jc w:val="left"/>
      </w:pPr>
      <w:r>
        <w:rPr>
          <w:rFonts w:ascii="Arial" w:cs="Arial" w:eastAsia="Arial" w:hAnsi="Arial"/>
          <w:b w:val="false"/>
          <w:bCs w:val="false"/>
          <w:i w:val="false"/>
          <w:iCs w:val="false"/>
          <w:sz w:val="22"/>
          <w:szCs w:val="22"/>
        </w:rPr>
        <w:t xml:space="preserve">Seven revisions are required. Each is specified with sufficient precision that no editorial judgment is needed to execute it. The designation decision is deferred until all seven are incorporated into v3.0 of each affected entry.</w:t>
      </w:r>
    </w:p>
    <w:p>
      <w:pPr>
        <w:spacing w:after="140" w:before="0"/>
        <w:jc w:val="left"/>
      </w:pPr>
      <w:r>
        <w:rPr>
          <w:rFonts w:ascii="Arial" w:cs="Arial" w:eastAsia="Arial" w:hAnsi="Arial"/>
          <w:b/>
          <w:bCs/>
          <w:i w:val="false"/>
          <w:iCs w:val="false"/>
          <w:sz w:val="22"/>
          <w:szCs w:val="22"/>
        </w:rPr>
        <w:t xml:space="preserve">Revision classification: </w:t>
      </w:r>
      <w:r>
        <w:rPr>
          <w:rFonts w:ascii="Arial" w:cs="Arial" w:eastAsia="Arial" w:hAnsi="Arial"/>
          <w:b w:val="false"/>
          <w:bCs w:val="false"/>
          <w:i w:val="false"/>
          <w:iCs w:val="false"/>
          <w:sz w:val="22"/>
          <w:szCs w:val="22"/>
        </w:rPr>
        <w:t xml:space="preserve">R1–R3 are structural corrections to failing specification elements. R4–R5 are voice corrections to drift instances. R6–R7 are compliance corrections to format specifications.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F3864" w:sz="4"/>
              <w:left w:val="single" w:color="1F3864" w:sz="4"/>
              <w:bottom w:val="single" w:color="1F3864" w:sz="4"/>
              <w:right w:val="single" w:color="1F3864" w:sz="4"/>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Revision ID</w:t>
            </w:r>
          </w:p>
        </w:tc>
        <w:tc>
          <w:tcPr>
            <w:tcW w:type="dxa" w:w="7920"/>
            <w:tcBorders>
              <w:top w:val="single" w:color="E6C55A" w:sz="4"/>
              <w:left w:val="single" w:color="E6C55A" w:sz="4"/>
              <w:bottom w:val="single" w:color="E6C55A" w:sz="4"/>
              <w:right w:val="single" w:color="E6C55A" w:sz="4"/>
            </w:tcBorders>
            <w:shd w:fill="FFF8E7" w:val="clear"/>
            <w:tcMar>
              <w:top w:type="dxa" w:w="70"/>
              <w:left w:type="dxa" w:w="110"/>
              <w:bottom w:type="dxa" w:w="70"/>
              <w:right w:type="dxa" w:w="110"/>
            </w:tcMar>
          </w:tcPr>
          <w:p>
            <w:r>
              <w:rPr>
                <w:rFonts w:ascii="Arial" w:cs="Arial" w:eastAsia="Arial" w:hAnsi="Arial"/>
                <w:b w:val="false"/>
                <w:bCs w:val="false"/>
                <w:color w:val="000000"/>
                <w:sz w:val="20"/>
                <w:szCs w:val="20"/>
              </w:rPr>
              <w:t xml:space="preserve">R1</w:t>
            </w:r>
          </w:p>
        </w:tc>
      </w:tr>
      <w:tr>
        <w:tc>
          <w:tcPr>
            <w:tcW w:type="dxa" w:w="144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r>
              <w:rPr>
                <w:rFonts w:ascii="Arial" w:cs="Arial" w:eastAsia="Arial" w:hAnsi="Arial"/>
                <w:b/>
                <w:bCs/>
                <w:color w:val="1F3864"/>
                <w:sz w:val="20"/>
                <w:szCs w:val="20"/>
              </w:rPr>
              <w:t xml:space="preserve">Entry</w:t>
            </w:r>
          </w:p>
        </w:tc>
        <w:tc>
          <w:tcPr>
            <w:tcW w:type="dxa" w:w="792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Ego Is the Enemy</w:t>
            </w:r>
          </w:p>
        </w:tc>
      </w:tr>
      <w:tr>
        <w:tc>
          <w:tcPr>
            <w:tcW w:type="dxa" w:w="144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r>
              <w:rPr>
                <w:rFonts w:ascii="Arial" w:cs="Arial" w:eastAsia="Arial" w:hAnsi="Arial"/>
                <w:b/>
                <w:bCs/>
                <w:color w:val="1F3864"/>
                <w:sz w:val="20"/>
                <w:szCs w:val="20"/>
              </w:rPr>
              <w:t xml:space="preserve">Section</w:t>
            </w:r>
          </w:p>
        </w:tc>
        <w:tc>
          <w:tcPr>
            <w:tcW w:type="dxa" w:w="792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000000"/>
                <w:sz w:val="20"/>
                <w:szCs w:val="20"/>
              </w:rPr>
              <w:t xml:space="preserve">Closing Reflection — final sentence</w:t>
            </w:r>
          </w:p>
        </w:tc>
      </w:tr>
      <w:tr>
        <w:tc>
          <w:tcPr>
            <w:tcW w:type="dxa" w:w="1440"/>
            <w:tcBorders>
              <w:top w:val="single" w:color="FFD966" w:sz="4"/>
              <w:left w:val="single" w:color="FFD966" w:sz="4"/>
              <w:bottom w:val="single" w:color="FFD966" w:sz="4"/>
              <w:right w:val="single" w:color="FFD966" w:sz="4"/>
            </w:tcBorders>
            <w:shd w:fill="FFF2CC" w:val="clear"/>
            <w:tcMar>
              <w:top w:type="dxa" w:w="70"/>
              <w:left w:type="dxa" w:w="110"/>
              <w:bottom w:type="dxa" w:w="70"/>
              <w:right w:type="dxa" w:w="110"/>
            </w:tcMar>
          </w:tcPr>
          <w:p>
            <w:r>
              <w:rPr>
                <w:rFonts w:ascii="Arial" w:cs="Arial" w:eastAsia="Arial" w:hAnsi="Arial"/>
                <w:b/>
                <w:bCs/>
                <w:color w:val="7F6000"/>
                <w:sz w:val="20"/>
                <w:szCs w:val="20"/>
              </w:rPr>
              <w:t xml:space="preserve">Current text</w:t>
            </w:r>
          </w:p>
        </w:tc>
        <w:tc>
          <w:tcPr>
            <w:tcW w:type="dxa" w:w="7920"/>
            <w:tcBorders>
              <w:top w:val="single" w:color="FFD966" w:sz="4"/>
              <w:left w:val="single" w:color="FFD966" w:sz="4"/>
              <w:bottom w:val="single" w:color="FFD966" w:sz="4"/>
              <w:right w:val="single" w:color="FFD966" w:sz="4"/>
            </w:tcBorders>
            <w:shd w:fill="FFF2CC" w:val="clear"/>
            <w:tcMar>
              <w:top w:type="dxa" w:w="70"/>
              <w:left w:type="dxa" w:w="110"/>
              <w:bottom w:type="dxa" w:w="70"/>
              <w:right w:type="dxa" w:w="110"/>
            </w:tcMar>
          </w:tcPr>
          <w:p>
            <w:r>
              <w:rPr>
                <w:rFonts w:ascii="Arial" w:cs="Arial" w:eastAsia="Arial" w:hAnsi="Arial"/>
                <w:b w:val="false"/>
                <w:bCs w:val="false"/>
                <w:color w:val="7F6000"/>
                <w:sz w:val="20"/>
                <w:szCs w:val="20"/>
              </w:rPr>
              <w:t xml:space="preserve">“That clarity is available to you now.”</w:t>
            </w:r>
          </w:p>
        </w:tc>
      </w:tr>
      <w:tr>
        <w:tc>
          <w:tcPr>
            <w:tcW w:type="dxa" w:w="144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r>
              <w:rPr>
                <w:rFonts w:ascii="Arial" w:cs="Arial" w:eastAsia="Arial" w:hAnsi="Arial"/>
                <w:b/>
                <w:bCs/>
                <w:color w:val="375623"/>
                <w:sz w:val="20"/>
                <w:szCs w:val="20"/>
              </w:rPr>
              <w:t xml:space="preserve">Revised text</w:t>
            </w:r>
          </w:p>
        </w:tc>
        <w:tc>
          <w:tcPr>
            <w:tcW w:type="dxa" w:w="792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r>
              <w:rPr>
                <w:rFonts w:ascii="Arial" w:cs="Arial" w:eastAsia="Arial" w:hAnsi="Arial"/>
                <w:b w:val="false"/>
                <w:bCs w:val="false"/>
                <w:color w:val="375623"/>
                <w:sz w:val="20"/>
                <w:szCs w:val="20"/>
              </w:rPr>
              <w:t xml:space="preserve">Replace with a grounded observation that ends on the reader’s direction rather than on an availability announcement. Suggested replacement: “The work is not about the ego you had. It is about the leader you are still building.” Or: “What you built in service was real. What you build next, you will choose.” The replacement must not use the word “available,” must not make a promise, and must end on the reader’s agency rather than on the entry’s offering.</w:t>
            </w:r>
          </w:p>
        </w:tc>
      </w:tr>
      <w:tr>
        <w:tc>
          <w:tcPr>
            <w:tcW w:type="dxa" w:w="144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r>
              <w:rPr>
                <w:rFonts w:ascii="Arial" w:cs="Arial" w:eastAsia="Arial" w:hAnsi="Arial"/>
                <w:b/>
                <w:bCs/>
                <w:color w:val="1F3864"/>
                <w:sz w:val="20"/>
                <w:szCs w:val="20"/>
              </w:rPr>
              <w:t xml:space="preserve">Rationale</w:t>
            </w:r>
          </w:p>
        </w:tc>
        <w:tc>
          <w:tcPr>
            <w:tcW w:type="dxa" w:w="792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333333"/>
                <w:sz w:val="20"/>
                <w:szCs w:val="20"/>
              </w:rPr>
              <w:t xml:space="preserve">Blueprint Section 7: “Read the closing aloud. If it sounds like a motivational poster, rewrite it.” The current sentence announces a benefit rather than delivering a truth. The Gold Standard closing should model the kind of grounded, reader-directed send-off that the other two entries achieve.</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F3864" w:sz="4"/>
              <w:left w:val="single" w:color="1F3864" w:sz="4"/>
              <w:bottom w:val="single" w:color="1F3864" w:sz="4"/>
              <w:right w:val="single" w:color="1F3864" w:sz="4"/>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Revision ID</w:t>
            </w:r>
          </w:p>
        </w:tc>
        <w:tc>
          <w:tcPr>
            <w:tcW w:type="dxa" w:w="7920"/>
            <w:tcBorders>
              <w:top w:val="single" w:color="E6C55A" w:sz="4"/>
              <w:left w:val="single" w:color="E6C55A" w:sz="4"/>
              <w:bottom w:val="single" w:color="E6C55A" w:sz="4"/>
              <w:right w:val="single" w:color="E6C55A" w:sz="4"/>
            </w:tcBorders>
            <w:shd w:fill="FFF8E7" w:val="clear"/>
            <w:tcMar>
              <w:top w:type="dxa" w:w="70"/>
              <w:left w:type="dxa" w:w="110"/>
              <w:bottom w:type="dxa" w:w="70"/>
              <w:right w:type="dxa" w:w="110"/>
            </w:tcMar>
          </w:tcPr>
          <w:p>
            <w:r>
              <w:rPr>
                <w:rFonts w:ascii="Arial" w:cs="Arial" w:eastAsia="Arial" w:hAnsi="Arial"/>
                <w:b w:val="false"/>
                <w:bCs w:val="false"/>
                <w:color w:val="000000"/>
                <w:sz w:val="20"/>
                <w:szCs w:val="20"/>
              </w:rPr>
              <w:t xml:space="preserve">R2</w:t>
            </w:r>
          </w:p>
        </w:tc>
      </w:tr>
      <w:tr>
        <w:tc>
          <w:tcPr>
            <w:tcW w:type="dxa" w:w="144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r>
              <w:rPr>
                <w:rFonts w:ascii="Arial" w:cs="Arial" w:eastAsia="Arial" w:hAnsi="Arial"/>
                <w:b/>
                <w:bCs/>
                <w:color w:val="1F3864"/>
                <w:sz w:val="20"/>
                <w:szCs w:val="20"/>
              </w:rPr>
              <w:t xml:space="preserve">Entry</w:t>
            </w:r>
          </w:p>
        </w:tc>
        <w:tc>
          <w:tcPr>
            <w:tcW w:type="dxa" w:w="792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Ego Is the Enemy</w:t>
            </w:r>
          </w:p>
        </w:tc>
      </w:tr>
      <w:tr>
        <w:tc>
          <w:tcPr>
            <w:tcW w:type="dxa" w:w="144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r>
              <w:rPr>
                <w:rFonts w:ascii="Arial" w:cs="Arial" w:eastAsia="Arial" w:hAnsi="Arial"/>
                <w:b/>
                <w:bCs/>
                <w:color w:val="1F3864"/>
                <w:sz w:val="20"/>
                <w:szCs w:val="20"/>
              </w:rPr>
              <w:t xml:space="preserve">Section</w:t>
            </w:r>
          </w:p>
        </w:tc>
        <w:tc>
          <w:tcPr>
            <w:tcW w:type="dxa" w:w="792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000000"/>
                <w:sz w:val="20"/>
                <w:szCs w:val="20"/>
              </w:rPr>
              <w:t xml:space="preserve">Reflection Questions — Purpose &amp; Legacy</w:t>
            </w:r>
          </w:p>
        </w:tc>
      </w:tr>
      <w:tr>
        <w:tc>
          <w:tcPr>
            <w:tcW w:type="dxa" w:w="1440"/>
            <w:tcBorders>
              <w:top w:val="single" w:color="FFD966" w:sz="4"/>
              <w:left w:val="single" w:color="FFD966" w:sz="4"/>
              <w:bottom w:val="single" w:color="FFD966" w:sz="4"/>
              <w:right w:val="single" w:color="FFD966" w:sz="4"/>
            </w:tcBorders>
            <w:shd w:fill="FFF2CC" w:val="clear"/>
            <w:tcMar>
              <w:top w:type="dxa" w:w="70"/>
              <w:left w:type="dxa" w:w="110"/>
              <w:bottom w:type="dxa" w:w="70"/>
              <w:right w:type="dxa" w:w="110"/>
            </w:tcMar>
          </w:tcPr>
          <w:p>
            <w:r>
              <w:rPr>
                <w:rFonts w:ascii="Arial" w:cs="Arial" w:eastAsia="Arial" w:hAnsi="Arial"/>
                <w:b/>
                <w:bCs/>
                <w:color w:val="7F6000"/>
                <w:sz w:val="20"/>
                <w:szCs w:val="20"/>
              </w:rPr>
              <w:t xml:space="preserve">Current text</w:t>
            </w:r>
          </w:p>
        </w:tc>
        <w:tc>
          <w:tcPr>
            <w:tcW w:type="dxa" w:w="7920"/>
            <w:tcBorders>
              <w:top w:val="single" w:color="FFD966" w:sz="4"/>
              <w:left w:val="single" w:color="FFD966" w:sz="4"/>
              <w:bottom w:val="single" w:color="FFD966" w:sz="4"/>
              <w:right w:val="single" w:color="FFD966" w:sz="4"/>
            </w:tcBorders>
            <w:shd w:fill="FFF2CC" w:val="clear"/>
            <w:tcMar>
              <w:top w:type="dxa" w:w="70"/>
              <w:left w:type="dxa" w:w="110"/>
              <w:bottom w:type="dxa" w:w="70"/>
              <w:right w:type="dxa" w:w="110"/>
            </w:tcMar>
          </w:tcPr>
          <w:p>
            <w:r>
              <w:rPr>
                <w:rFonts w:ascii="Arial" w:cs="Arial" w:eastAsia="Arial" w:hAnsi="Arial"/>
                <w:b w:val="false"/>
                <w:bCs w:val="false"/>
                <w:color w:val="7F6000"/>
                <w:sz w:val="20"/>
                <w:szCs w:val="20"/>
              </w:rPr>
              <w:t xml:space="preserve">“What would it look like for you to apply that discipline in the next chapter? Who are the people whose work you could support, amplify, or advance without it needing to reflect on you?”</w:t>
            </w:r>
          </w:p>
        </w:tc>
      </w:tr>
      <w:tr>
        <w:tc>
          <w:tcPr>
            <w:tcW w:type="dxa" w:w="144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r>
              <w:rPr>
                <w:rFonts w:ascii="Arial" w:cs="Arial" w:eastAsia="Arial" w:hAnsi="Arial"/>
                <w:b/>
                <w:bCs/>
                <w:color w:val="375623"/>
                <w:sz w:val="20"/>
                <w:szCs w:val="20"/>
              </w:rPr>
              <w:t xml:space="preserve">Revised text</w:t>
            </w:r>
          </w:p>
        </w:tc>
        <w:tc>
          <w:tcPr>
            <w:tcW w:type="dxa" w:w="792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r>
              <w:rPr>
                <w:rFonts w:ascii="Arial" w:cs="Arial" w:eastAsia="Arial" w:hAnsi="Arial"/>
                <w:b w:val="false"/>
                <w:bCs w:val="false"/>
                <w:color w:val="375623"/>
                <w:sz w:val="20"/>
                <w:szCs w:val="20"/>
              </w:rPr>
              <w:t xml:space="preserve">Remove the second sentence (“Who are the people whose work you could support, amplify, or advance without it needing to reflect on you?”) and replace with a formulation that applies regardless of transition stage. Suggested: “What would it look like for you to apply that discipline in the next chapter — not as a strategy for building relationships, but as a practice for testing whether your sense of self can hold without the confirmation?” This retains the canvas-strategy frame, applies to any reader regardless of whether they have a team or organization, and adds the self-examination dimension the question currently lacks.</w:t>
            </w:r>
          </w:p>
        </w:tc>
      </w:tr>
      <w:tr>
        <w:tc>
          <w:tcPr>
            <w:tcW w:type="dxa" w:w="144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r>
              <w:rPr>
                <w:rFonts w:ascii="Arial" w:cs="Arial" w:eastAsia="Arial" w:hAnsi="Arial"/>
                <w:b/>
                <w:bCs/>
                <w:color w:val="1F3864"/>
                <w:sz w:val="20"/>
                <w:szCs w:val="20"/>
              </w:rPr>
              <w:t xml:space="preserve">Rationale</w:t>
            </w:r>
          </w:p>
        </w:tc>
        <w:tc>
          <w:tcPr>
            <w:tcW w:type="dxa" w:w="792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333333"/>
                <w:sz w:val="20"/>
                <w:szCs w:val="20"/>
              </w:rPr>
              <w:t xml:space="preserve">Blueprint Section 5: “None presuppose a specific transition stage — questions must apply whether the reader is active-duty, separating, or already out.” The current second sentence presupposes a context (having people to support) that may not exist for readers in early transition.</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F3864" w:sz="4"/>
              <w:left w:val="single" w:color="1F3864" w:sz="4"/>
              <w:bottom w:val="single" w:color="1F3864" w:sz="4"/>
              <w:right w:val="single" w:color="1F3864" w:sz="4"/>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Revision ID</w:t>
            </w:r>
          </w:p>
        </w:tc>
        <w:tc>
          <w:tcPr>
            <w:tcW w:type="dxa" w:w="7920"/>
            <w:tcBorders>
              <w:top w:val="single" w:color="E6C55A" w:sz="4"/>
              <w:left w:val="single" w:color="E6C55A" w:sz="4"/>
              <w:bottom w:val="single" w:color="E6C55A" w:sz="4"/>
              <w:right w:val="single" w:color="E6C55A" w:sz="4"/>
            </w:tcBorders>
            <w:shd w:fill="FFF8E7" w:val="clear"/>
            <w:tcMar>
              <w:top w:type="dxa" w:w="70"/>
              <w:left w:type="dxa" w:w="110"/>
              <w:bottom w:type="dxa" w:w="70"/>
              <w:right w:type="dxa" w:w="110"/>
            </w:tcMar>
          </w:tcPr>
          <w:p>
            <w:r>
              <w:rPr>
                <w:rFonts w:ascii="Arial" w:cs="Arial" w:eastAsia="Arial" w:hAnsi="Arial"/>
                <w:b w:val="false"/>
                <w:bCs w:val="false"/>
                <w:color w:val="000000"/>
                <w:sz w:val="20"/>
                <w:szCs w:val="20"/>
              </w:rPr>
              <w:t xml:space="preserve">R3</w:t>
            </w:r>
          </w:p>
        </w:tc>
      </w:tr>
      <w:tr>
        <w:tc>
          <w:tcPr>
            <w:tcW w:type="dxa" w:w="144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r>
              <w:rPr>
                <w:rFonts w:ascii="Arial" w:cs="Arial" w:eastAsia="Arial" w:hAnsi="Arial"/>
                <w:b/>
                <w:bCs/>
                <w:color w:val="1F3864"/>
                <w:sz w:val="20"/>
                <w:szCs w:val="20"/>
              </w:rPr>
              <w:t xml:space="preserve">Entry</w:t>
            </w:r>
          </w:p>
        </w:tc>
        <w:tc>
          <w:tcPr>
            <w:tcW w:type="dxa" w:w="792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Meditations</w:t>
            </w:r>
          </w:p>
        </w:tc>
      </w:tr>
      <w:tr>
        <w:tc>
          <w:tcPr>
            <w:tcW w:type="dxa" w:w="144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r>
              <w:rPr>
                <w:rFonts w:ascii="Arial" w:cs="Arial" w:eastAsia="Arial" w:hAnsi="Arial"/>
                <w:b/>
                <w:bCs/>
                <w:color w:val="1F3864"/>
                <w:sz w:val="20"/>
                <w:szCs w:val="20"/>
              </w:rPr>
              <w:t xml:space="preserve">Section</w:t>
            </w:r>
          </w:p>
        </w:tc>
        <w:tc>
          <w:tcPr>
            <w:tcW w:type="dxa" w:w="792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000000"/>
                <w:sz w:val="20"/>
                <w:szCs w:val="20"/>
              </w:rPr>
              <w:t xml:space="preserve">Opening Hook — first sentence</w:t>
            </w:r>
          </w:p>
        </w:tc>
      </w:tr>
      <w:tr>
        <w:tc>
          <w:tcPr>
            <w:tcW w:type="dxa" w:w="1440"/>
            <w:tcBorders>
              <w:top w:val="single" w:color="FFD966" w:sz="4"/>
              <w:left w:val="single" w:color="FFD966" w:sz="4"/>
              <w:bottom w:val="single" w:color="FFD966" w:sz="4"/>
              <w:right w:val="single" w:color="FFD966" w:sz="4"/>
            </w:tcBorders>
            <w:shd w:fill="FFF2CC" w:val="clear"/>
            <w:tcMar>
              <w:top w:type="dxa" w:w="70"/>
              <w:left w:type="dxa" w:w="110"/>
              <w:bottom w:type="dxa" w:w="70"/>
              <w:right w:type="dxa" w:w="110"/>
            </w:tcMar>
          </w:tcPr>
          <w:p>
            <w:r>
              <w:rPr>
                <w:rFonts w:ascii="Arial" w:cs="Arial" w:eastAsia="Arial" w:hAnsi="Arial"/>
                <w:b/>
                <w:bCs/>
                <w:color w:val="7F6000"/>
                <w:sz w:val="20"/>
                <w:szCs w:val="20"/>
              </w:rPr>
              <w:t xml:space="preserve">Current text</w:t>
            </w:r>
          </w:p>
        </w:tc>
        <w:tc>
          <w:tcPr>
            <w:tcW w:type="dxa" w:w="7920"/>
            <w:tcBorders>
              <w:top w:val="single" w:color="FFD966" w:sz="4"/>
              <w:left w:val="single" w:color="FFD966" w:sz="4"/>
              <w:bottom w:val="single" w:color="FFD966" w:sz="4"/>
              <w:right w:val="single" w:color="FFD966" w:sz="4"/>
            </w:tcBorders>
            <w:shd w:fill="FFF2CC" w:val="clear"/>
            <w:tcMar>
              <w:top w:type="dxa" w:w="70"/>
              <w:left w:type="dxa" w:w="110"/>
              <w:bottom w:type="dxa" w:w="70"/>
              <w:right w:type="dxa" w:w="110"/>
            </w:tcMar>
          </w:tcPr>
          <w:p>
            <w:r>
              <w:rPr>
                <w:rFonts w:ascii="Arial" w:cs="Arial" w:eastAsia="Arial" w:hAnsi="Arial"/>
                <w:b w:val="false"/>
                <w:bCs w:val="false"/>
                <w:color w:val="7F6000"/>
                <w:sz w:val="20"/>
                <w:szCs w:val="20"/>
              </w:rPr>
              <w:t xml:space="preserve">“Most leaders discover the fragility of rank-based identity at the moment the rank is removed.”</w:t>
            </w:r>
          </w:p>
        </w:tc>
      </w:tr>
      <w:tr>
        <w:tc>
          <w:tcPr>
            <w:tcW w:type="dxa" w:w="144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r>
              <w:rPr>
                <w:rFonts w:ascii="Arial" w:cs="Arial" w:eastAsia="Arial" w:hAnsi="Arial"/>
                <w:b/>
                <w:bCs/>
                <w:color w:val="375623"/>
                <w:sz w:val="20"/>
                <w:szCs w:val="20"/>
              </w:rPr>
              <w:t xml:space="preserve">Revised text</w:t>
            </w:r>
          </w:p>
        </w:tc>
        <w:tc>
          <w:tcPr>
            <w:tcW w:type="dxa" w:w="792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r>
              <w:rPr>
                <w:rFonts w:ascii="Arial" w:cs="Arial" w:eastAsia="Arial" w:hAnsi="Arial"/>
                <w:b w:val="false"/>
                <w:bCs w:val="false"/>
                <w:color w:val="375623"/>
                <w:sz w:val="20"/>
                <w:szCs w:val="20"/>
              </w:rPr>
              <w:t xml:space="preserve">Revise the first sentence to position the reader inside their own experience rather than as an observer of a general phenomenon. Suggested: “The question is usually there before you ask it. Not while the rank is being worn — while the next step is being considered, when the decision has been made but not yet executed, in the months before the ceremony.” This approach stages the reader at the specific moment of pre-transition awareness, which is when many readers will encounter this entry. The current opening describes what happens to leaders at separation; the revision should place the reader in the experience before separation.</w:t>
            </w:r>
          </w:p>
        </w:tc>
      </w:tr>
      <w:tr>
        <w:tc>
          <w:tcPr>
            <w:tcW w:type="dxa" w:w="144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r>
              <w:rPr>
                <w:rFonts w:ascii="Arial" w:cs="Arial" w:eastAsia="Arial" w:hAnsi="Arial"/>
                <w:b/>
                <w:bCs/>
                <w:color w:val="1F3864"/>
                <w:sz w:val="20"/>
                <w:szCs w:val="20"/>
              </w:rPr>
              <w:t xml:space="preserve">Rationale</w:t>
            </w:r>
          </w:p>
        </w:tc>
        <w:tc>
          <w:tcPr>
            <w:tcW w:type="dxa" w:w="792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333333"/>
                <w:sz w:val="20"/>
                <w:szCs w:val="20"/>
              </w:rPr>
              <w:t xml:space="preserve">Blueprint Section 1: “An observation about the transition experience that the reader will recognize as their own.” The distinction is between an observation a reader can recognize themselves in versus an observation a reader can recognize themselves as an example of. The first is personal. The second is categorical.</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F3864" w:sz="4"/>
              <w:left w:val="single" w:color="1F3864" w:sz="4"/>
              <w:bottom w:val="single" w:color="1F3864" w:sz="4"/>
              <w:right w:val="single" w:color="1F3864" w:sz="4"/>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Revision ID</w:t>
            </w:r>
          </w:p>
        </w:tc>
        <w:tc>
          <w:tcPr>
            <w:tcW w:type="dxa" w:w="7920"/>
            <w:tcBorders>
              <w:top w:val="single" w:color="E6C55A" w:sz="4"/>
              <w:left w:val="single" w:color="E6C55A" w:sz="4"/>
              <w:bottom w:val="single" w:color="E6C55A" w:sz="4"/>
              <w:right w:val="single" w:color="E6C55A" w:sz="4"/>
            </w:tcBorders>
            <w:shd w:fill="FFF8E7" w:val="clear"/>
            <w:tcMar>
              <w:top w:type="dxa" w:w="70"/>
              <w:left w:type="dxa" w:w="110"/>
              <w:bottom w:type="dxa" w:w="70"/>
              <w:right w:type="dxa" w:w="110"/>
            </w:tcMar>
          </w:tcPr>
          <w:p>
            <w:r>
              <w:rPr>
                <w:rFonts w:ascii="Arial" w:cs="Arial" w:eastAsia="Arial" w:hAnsi="Arial"/>
                <w:b w:val="false"/>
                <w:bCs w:val="false"/>
                <w:color w:val="000000"/>
                <w:sz w:val="20"/>
                <w:szCs w:val="20"/>
              </w:rPr>
              <w:t xml:space="preserve">R4</w:t>
            </w:r>
          </w:p>
        </w:tc>
      </w:tr>
      <w:tr>
        <w:tc>
          <w:tcPr>
            <w:tcW w:type="dxa" w:w="144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r>
              <w:rPr>
                <w:rFonts w:ascii="Arial" w:cs="Arial" w:eastAsia="Arial" w:hAnsi="Arial"/>
                <w:b/>
                <w:bCs/>
                <w:color w:val="1F3864"/>
                <w:sz w:val="20"/>
                <w:szCs w:val="20"/>
              </w:rPr>
              <w:t xml:space="preserve">Entry</w:t>
            </w:r>
          </w:p>
        </w:tc>
        <w:tc>
          <w:tcPr>
            <w:tcW w:type="dxa" w:w="792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Meditations</w:t>
            </w:r>
          </w:p>
        </w:tc>
      </w:tr>
      <w:tr>
        <w:tc>
          <w:tcPr>
            <w:tcW w:type="dxa" w:w="144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r>
              <w:rPr>
                <w:rFonts w:ascii="Arial" w:cs="Arial" w:eastAsia="Arial" w:hAnsi="Arial"/>
                <w:b/>
                <w:bCs/>
                <w:color w:val="1F3864"/>
                <w:sz w:val="20"/>
                <w:szCs w:val="20"/>
              </w:rPr>
              <w:t xml:space="preserve">Section</w:t>
            </w:r>
          </w:p>
        </w:tc>
        <w:tc>
          <w:tcPr>
            <w:tcW w:type="dxa" w:w="792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000000"/>
                <w:sz w:val="20"/>
                <w:szCs w:val="20"/>
              </w:rPr>
              <w:t xml:space="preserve">Practical Applications — Item 1</w:t>
            </w:r>
          </w:p>
        </w:tc>
      </w:tr>
      <w:tr>
        <w:tc>
          <w:tcPr>
            <w:tcW w:type="dxa" w:w="1440"/>
            <w:tcBorders>
              <w:top w:val="single" w:color="FFD966" w:sz="4"/>
              <w:left w:val="single" w:color="FFD966" w:sz="4"/>
              <w:bottom w:val="single" w:color="FFD966" w:sz="4"/>
              <w:right w:val="single" w:color="FFD966" w:sz="4"/>
            </w:tcBorders>
            <w:shd w:fill="FFF2CC" w:val="clear"/>
            <w:tcMar>
              <w:top w:type="dxa" w:w="70"/>
              <w:left w:type="dxa" w:w="110"/>
              <w:bottom w:type="dxa" w:w="70"/>
              <w:right w:type="dxa" w:w="110"/>
            </w:tcMar>
          </w:tcPr>
          <w:p>
            <w:r>
              <w:rPr>
                <w:rFonts w:ascii="Arial" w:cs="Arial" w:eastAsia="Arial" w:hAnsi="Arial"/>
                <w:b/>
                <w:bCs/>
                <w:color w:val="7F6000"/>
                <w:sz w:val="20"/>
                <w:szCs w:val="20"/>
              </w:rPr>
              <w:t xml:space="preserve">Current text</w:t>
            </w:r>
          </w:p>
        </w:tc>
        <w:tc>
          <w:tcPr>
            <w:tcW w:type="dxa" w:w="7920"/>
            <w:tcBorders>
              <w:top w:val="single" w:color="FFD966" w:sz="4"/>
              <w:left w:val="single" w:color="FFD966" w:sz="4"/>
              <w:bottom w:val="single" w:color="FFD966" w:sz="4"/>
              <w:right w:val="single" w:color="FFD966" w:sz="4"/>
            </w:tcBorders>
            <w:shd w:fill="FFF2CC" w:val="clear"/>
            <w:tcMar>
              <w:top w:type="dxa" w:w="70"/>
              <w:left w:type="dxa" w:w="110"/>
              <w:bottom w:type="dxa" w:w="70"/>
              <w:right w:type="dxa" w:w="110"/>
            </w:tcMar>
          </w:tcPr>
          <w:p>
            <w:r>
              <w:rPr>
                <w:rFonts w:ascii="Arial" w:cs="Arial" w:eastAsia="Arial" w:hAnsi="Arial"/>
                <w:b w:val="false"/>
                <w:bCs w:val="false"/>
                <w:color w:val="7F6000"/>
                <w:sz w:val="20"/>
                <w:szCs w:val="20"/>
              </w:rPr>
              <w:t xml:space="preserve">“Read the Meditations differently than you read other books. Choose a single short passage — often just a sentence or two — and carry it through a day. Not as a motivational quote. As a test: where does it hold and where does it break under the actual conditions of your life?”</w:t>
            </w:r>
          </w:p>
        </w:tc>
      </w:tr>
      <w:tr>
        <w:tc>
          <w:tcPr>
            <w:tcW w:type="dxa" w:w="144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r>
              <w:rPr>
                <w:rFonts w:ascii="Arial" w:cs="Arial" w:eastAsia="Arial" w:hAnsi="Arial"/>
                <w:b/>
                <w:bCs/>
                <w:color w:val="375623"/>
                <w:sz w:val="20"/>
                <w:szCs w:val="20"/>
              </w:rPr>
              <w:t xml:space="preserve">Revised text</w:t>
            </w:r>
          </w:p>
        </w:tc>
        <w:tc>
          <w:tcPr>
            <w:tcW w:type="dxa" w:w="792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r>
              <w:rPr>
                <w:rFonts w:ascii="Arial" w:cs="Arial" w:eastAsia="Arial" w:hAnsi="Arial"/>
                <w:b w:val="false"/>
                <w:bCs w:val="false"/>
                <w:color w:val="375623"/>
                <w:sz w:val="20"/>
                <w:szCs w:val="20"/>
              </w:rPr>
              <w:t xml:space="preserve">Reframe from a reading instruction to an application of Aurelius’s methodology to the reader’s current situation. Suggested: “Identify one principle from Aurelius’s framework — the control/no-control distinction, negative visualization, or the obligation to role — and carry it as a test through one full day in your current environment. Not as a reminder posted on a wall. As a live experiment: where does it hold under the actual conditions of your transition, and where does it require revision to fit your specific situation? What Aurelius learned about his philosophy came from running these experiments daily. The method is the point.”</w:t>
            </w:r>
          </w:p>
        </w:tc>
      </w:tr>
      <w:tr>
        <w:tc>
          <w:tcPr>
            <w:tcW w:type="dxa" w:w="144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r>
              <w:rPr>
                <w:rFonts w:ascii="Arial" w:cs="Arial" w:eastAsia="Arial" w:hAnsi="Arial"/>
                <w:b/>
                <w:bCs/>
                <w:color w:val="1F3864"/>
                <w:sz w:val="20"/>
                <w:szCs w:val="20"/>
              </w:rPr>
              <w:t xml:space="preserve">Rationale</w:t>
            </w:r>
          </w:p>
        </w:tc>
        <w:tc>
          <w:tcPr>
            <w:tcW w:type="dxa" w:w="792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333333"/>
                <w:sz w:val="20"/>
                <w:szCs w:val="20"/>
              </w:rPr>
              <w:t xml:space="preserve">Blueprint Section 4: “At least one application specific to the transition experience (identity, career change, civilian integration, retirement planning).” Also: “Not “Consider X” — direct the reader specifically.” A reading instruction tells the reader how to engage with the book, not how to apply the book’s framework to their own transition.</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F3864" w:sz="4"/>
              <w:left w:val="single" w:color="1F3864" w:sz="4"/>
              <w:bottom w:val="single" w:color="1F3864" w:sz="4"/>
              <w:right w:val="single" w:color="1F3864" w:sz="4"/>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Revision ID</w:t>
            </w:r>
          </w:p>
        </w:tc>
        <w:tc>
          <w:tcPr>
            <w:tcW w:type="dxa" w:w="7920"/>
            <w:tcBorders>
              <w:top w:val="single" w:color="E6C55A" w:sz="4"/>
              <w:left w:val="single" w:color="E6C55A" w:sz="4"/>
              <w:bottom w:val="single" w:color="E6C55A" w:sz="4"/>
              <w:right w:val="single" w:color="E6C55A" w:sz="4"/>
            </w:tcBorders>
            <w:shd w:fill="FFF8E7" w:val="clear"/>
            <w:tcMar>
              <w:top w:type="dxa" w:w="70"/>
              <w:left w:type="dxa" w:w="110"/>
              <w:bottom w:type="dxa" w:w="70"/>
              <w:right w:type="dxa" w:w="110"/>
            </w:tcMar>
          </w:tcPr>
          <w:p>
            <w:r>
              <w:rPr>
                <w:rFonts w:ascii="Arial" w:cs="Arial" w:eastAsia="Arial" w:hAnsi="Arial"/>
                <w:b w:val="false"/>
                <w:bCs w:val="false"/>
                <w:color w:val="000000"/>
                <w:sz w:val="20"/>
                <w:szCs w:val="20"/>
              </w:rPr>
              <w:t xml:space="preserve">R5</w:t>
            </w:r>
          </w:p>
        </w:tc>
      </w:tr>
      <w:tr>
        <w:tc>
          <w:tcPr>
            <w:tcW w:type="dxa" w:w="144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r>
              <w:rPr>
                <w:rFonts w:ascii="Arial" w:cs="Arial" w:eastAsia="Arial" w:hAnsi="Arial"/>
                <w:b/>
                <w:bCs/>
                <w:color w:val="1F3864"/>
                <w:sz w:val="20"/>
                <w:szCs w:val="20"/>
              </w:rPr>
              <w:t xml:space="preserve">Entry</w:t>
            </w:r>
          </w:p>
        </w:tc>
        <w:tc>
          <w:tcPr>
            <w:tcW w:type="dxa" w:w="792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Ego Is the Enemy</w:t>
            </w:r>
          </w:p>
        </w:tc>
      </w:tr>
      <w:tr>
        <w:tc>
          <w:tcPr>
            <w:tcW w:type="dxa" w:w="144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r>
              <w:rPr>
                <w:rFonts w:ascii="Arial" w:cs="Arial" w:eastAsia="Arial" w:hAnsi="Arial"/>
                <w:b/>
                <w:bCs/>
                <w:color w:val="1F3864"/>
                <w:sz w:val="20"/>
                <w:szCs w:val="20"/>
              </w:rPr>
              <w:t xml:space="preserve">Section</w:t>
            </w:r>
          </w:p>
        </w:tc>
        <w:tc>
          <w:tcPr>
            <w:tcW w:type="dxa" w:w="792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000000"/>
                <w:sz w:val="20"/>
                <w:szCs w:val="20"/>
              </w:rPr>
              <w:t xml:space="preserve">Practical Applications — Item 5</w:t>
            </w:r>
          </w:p>
        </w:tc>
      </w:tr>
      <w:tr>
        <w:tc>
          <w:tcPr>
            <w:tcW w:type="dxa" w:w="1440"/>
            <w:tcBorders>
              <w:top w:val="single" w:color="FFD966" w:sz="4"/>
              <w:left w:val="single" w:color="FFD966" w:sz="4"/>
              <w:bottom w:val="single" w:color="FFD966" w:sz="4"/>
              <w:right w:val="single" w:color="FFD966" w:sz="4"/>
            </w:tcBorders>
            <w:shd w:fill="FFF2CC" w:val="clear"/>
            <w:tcMar>
              <w:top w:type="dxa" w:w="70"/>
              <w:left w:type="dxa" w:w="110"/>
              <w:bottom w:type="dxa" w:w="70"/>
              <w:right w:type="dxa" w:w="110"/>
            </w:tcMar>
          </w:tcPr>
          <w:p>
            <w:r>
              <w:rPr>
                <w:rFonts w:ascii="Arial" w:cs="Arial" w:eastAsia="Arial" w:hAnsi="Arial"/>
                <w:b/>
                <w:bCs/>
                <w:color w:val="7F6000"/>
                <w:sz w:val="20"/>
                <w:szCs w:val="20"/>
              </w:rPr>
              <w:t xml:space="preserve">Current text</w:t>
            </w:r>
          </w:p>
        </w:tc>
        <w:tc>
          <w:tcPr>
            <w:tcW w:type="dxa" w:w="7920"/>
            <w:tcBorders>
              <w:top w:val="single" w:color="FFD966" w:sz="4"/>
              <w:left w:val="single" w:color="FFD966" w:sz="4"/>
              <w:bottom w:val="single" w:color="FFD966" w:sz="4"/>
              <w:right w:val="single" w:color="FFD966" w:sz="4"/>
            </w:tcBorders>
            <w:shd w:fill="FFF2CC" w:val="clear"/>
            <w:tcMar>
              <w:top w:type="dxa" w:w="70"/>
              <w:left w:type="dxa" w:w="110"/>
              <w:bottom w:type="dxa" w:w="70"/>
              <w:right w:type="dxa" w:w="110"/>
            </w:tcMar>
          </w:tcPr>
          <w:p>
            <w:r>
              <w:rPr>
                <w:rFonts w:ascii="Arial" w:cs="Arial" w:eastAsia="Arial" w:hAnsi="Arial"/>
                <w:b w:val="false"/>
                <w:bCs w:val="false"/>
                <w:color w:val="7F6000"/>
                <w:sz w:val="20"/>
                <w:szCs w:val="20"/>
              </w:rPr>
              <w:t xml:space="preserve">“Read this book in sequence with Man’s Search for Meaning and Meditations. Holiday’s diagnosis lands differently when the reader already has Frankl’s framework for what identity built on meaning looks like and Aurelius’s practice for maintaining character separate from circumstance. Without that foundation, the book can read as a call to perform humility. With it, it reads as a specific account of the obstacle between the self you have been and the self the next chapter requires.”</w:t>
            </w:r>
          </w:p>
        </w:tc>
      </w:tr>
      <w:tr>
        <w:tc>
          <w:tcPr>
            <w:tcW w:type="dxa" w:w="144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r>
              <w:rPr>
                <w:rFonts w:ascii="Arial" w:cs="Arial" w:eastAsia="Arial" w:hAnsi="Arial"/>
                <w:b/>
                <w:bCs/>
                <w:color w:val="375623"/>
                <w:sz w:val="20"/>
                <w:szCs w:val="20"/>
              </w:rPr>
              <w:t xml:space="preserve">Revised text</w:t>
            </w:r>
          </w:p>
        </w:tc>
        <w:tc>
          <w:tcPr>
            <w:tcW w:type="dxa" w:w="792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r>
              <w:rPr>
                <w:rFonts w:ascii="Arial" w:cs="Arial" w:eastAsia="Arial" w:hAnsi="Arial"/>
                <w:b w:val="false"/>
                <w:bCs w:val="false"/>
                <w:color w:val="375623"/>
                <w:sz w:val="20"/>
                <w:szCs w:val="20"/>
              </w:rPr>
              <w:t xml:space="preserve">The substantive insight (that the identity trilogy works as a cumulative argument, and that Holiday’s book gains diagnostic precision when read after the other two) is accurate and worth keeping. But it must be reframed as an action the reader can take now, not as a retroactive reading recommendation. Suggested: “Apply Holiday’s three-part structure — aspiring, succeeding, failing — to your own transition by identifying which phase most accurately describes where you are right now. Then ask: what does Holiday say the ego does at this specific stage? And what does Frankl’s framework for meaning-based identity suggest as the alternative? The trilogy is most useful not as three separate books but as three diagnostic lenses applied to the same moment.”</w:t>
            </w:r>
          </w:p>
        </w:tc>
      </w:tr>
      <w:tr>
        <w:tc>
          <w:tcPr>
            <w:tcW w:type="dxa" w:w="144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r>
              <w:rPr>
                <w:rFonts w:ascii="Arial" w:cs="Arial" w:eastAsia="Arial" w:hAnsi="Arial"/>
                <w:b/>
                <w:bCs/>
                <w:color w:val="1F3864"/>
                <w:sz w:val="20"/>
                <w:szCs w:val="20"/>
              </w:rPr>
              <w:t xml:space="preserve">Rationale</w:t>
            </w:r>
          </w:p>
        </w:tc>
        <w:tc>
          <w:tcPr>
            <w:tcW w:type="dxa" w:w="792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333333"/>
                <w:sz w:val="20"/>
                <w:szCs w:val="20"/>
              </w:rPr>
              <w:t xml:space="preserve">Blueprint Section 4: “Numbered list, each item beginning with an action verb or a specific directive.” Also the pattern documented in Section 6 of this review: reading instructions are drift toward a book-promotion voice. The Gold Standard must model the application-first standard it establishes for the library.</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F3864" w:sz="4"/>
              <w:left w:val="single" w:color="1F3864" w:sz="4"/>
              <w:bottom w:val="single" w:color="1F3864" w:sz="4"/>
              <w:right w:val="single" w:color="1F3864" w:sz="4"/>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Revision ID</w:t>
            </w:r>
          </w:p>
        </w:tc>
        <w:tc>
          <w:tcPr>
            <w:tcW w:type="dxa" w:w="7920"/>
            <w:tcBorders>
              <w:top w:val="single" w:color="E6C55A" w:sz="4"/>
              <w:left w:val="single" w:color="E6C55A" w:sz="4"/>
              <w:bottom w:val="single" w:color="E6C55A" w:sz="4"/>
              <w:right w:val="single" w:color="E6C55A" w:sz="4"/>
            </w:tcBorders>
            <w:shd w:fill="FFF8E7" w:val="clear"/>
            <w:tcMar>
              <w:top w:type="dxa" w:w="70"/>
              <w:left w:type="dxa" w:w="110"/>
              <w:bottom w:type="dxa" w:w="70"/>
              <w:right w:type="dxa" w:w="110"/>
            </w:tcMar>
          </w:tcPr>
          <w:p>
            <w:r>
              <w:rPr>
                <w:rFonts w:ascii="Arial" w:cs="Arial" w:eastAsia="Arial" w:hAnsi="Arial"/>
                <w:b w:val="false"/>
                <w:bCs w:val="false"/>
                <w:color w:val="000000"/>
                <w:sz w:val="20"/>
                <w:szCs w:val="20"/>
              </w:rPr>
              <w:t xml:space="preserve">R6</w:t>
            </w:r>
          </w:p>
        </w:tc>
      </w:tr>
      <w:tr>
        <w:tc>
          <w:tcPr>
            <w:tcW w:type="dxa" w:w="144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r>
              <w:rPr>
                <w:rFonts w:ascii="Arial" w:cs="Arial" w:eastAsia="Arial" w:hAnsi="Arial"/>
                <w:b/>
                <w:bCs/>
                <w:color w:val="1F3864"/>
                <w:sz w:val="20"/>
                <w:szCs w:val="20"/>
              </w:rPr>
              <w:t xml:space="preserve">Entry</w:t>
            </w:r>
          </w:p>
        </w:tc>
        <w:tc>
          <w:tcPr>
            <w:tcW w:type="dxa" w:w="792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Man’s Search for Meaning</w:t>
            </w:r>
          </w:p>
        </w:tc>
      </w:tr>
      <w:tr>
        <w:tc>
          <w:tcPr>
            <w:tcW w:type="dxa" w:w="144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r>
              <w:rPr>
                <w:rFonts w:ascii="Arial" w:cs="Arial" w:eastAsia="Arial" w:hAnsi="Arial"/>
                <w:b/>
                <w:bCs/>
                <w:color w:val="1F3864"/>
                <w:sz w:val="20"/>
                <w:szCs w:val="20"/>
              </w:rPr>
              <w:t xml:space="preserve">Section</w:t>
            </w:r>
          </w:p>
        </w:tc>
        <w:tc>
          <w:tcPr>
            <w:tcW w:type="dxa" w:w="792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000000"/>
                <w:sz w:val="20"/>
                <w:szCs w:val="20"/>
              </w:rPr>
              <w:t xml:space="preserve">Related Books — Meditations entry</w:t>
            </w:r>
          </w:p>
        </w:tc>
      </w:tr>
      <w:tr>
        <w:tc>
          <w:tcPr>
            <w:tcW w:type="dxa" w:w="1440"/>
            <w:tcBorders>
              <w:top w:val="single" w:color="FFD966" w:sz="4"/>
              <w:left w:val="single" w:color="FFD966" w:sz="4"/>
              <w:bottom w:val="single" w:color="FFD966" w:sz="4"/>
              <w:right w:val="single" w:color="FFD966" w:sz="4"/>
            </w:tcBorders>
            <w:shd w:fill="FFF2CC" w:val="clear"/>
            <w:tcMar>
              <w:top w:type="dxa" w:w="70"/>
              <w:left w:type="dxa" w:w="110"/>
              <w:bottom w:type="dxa" w:w="70"/>
              <w:right w:type="dxa" w:w="110"/>
            </w:tcMar>
          </w:tcPr>
          <w:p>
            <w:r>
              <w:rPr>
                <w:rFonts w:ascii="Arial" w:cs="Arial" w:eastAsia="Arial" w:hAnsi="Arial"/>
                <w:b/>
                <w:bCs/>
                <w:color w:val="7F6000"/>
                <w:sz w:val="20"/>
                <w:szCs w:val="20"/>
              </w:rPr>
              <w:t xml:space="preserve">Current text</w:t>
            </w:r>
          </w:p>
        </w:tc>
        <w:tc>
          <w:tcPr>
            <w:tcW w:type="dxa" w:w="7920"/>
            <w:tcBorders>
              <w:top w:val="single" w:color="FFD966" w:sz="4"/>
              <w:left w:val="single" w:color="FFD966" w:sz="4"/>
              <w:bottom w:val="single" w:color="FFD966" w:sz="4"/>
              <w:right w:val="single" w:color="FFD966" w:sz="4"/>
            </w:tcBorders>
            <w:shd w:fill="FFF2CC" w:val="clear"/>
            <w:tcMar>
              <w:top w:type="dxa" w:w="70"/>
              <w:left w:type="dxa" w:w="110"/>
              <w:bottom w:type="dxa" w:w="70"/>
              <w:right w:type="dxa" w:w="110"/>
            </w:tcMar>
          </w:tcPr>
          <w:p>
            <w:r>
              <w:rPr>
                <w:rFonts w:ascii="Arial" w:cs="Arial" w:eastAsia="Arial" w:hAnsi="Arial"/>
                <w:b w:val="false"/>
                <w:bCs w:val="false"/>
                <w:color w:val="7F6000"/>
                <w:sz w:val="20"/>
                <w:szCs w:val="20"/>
              </w:rPr>
              <w:t xml:space="preserve">“The most direct historical echo in the library: Aurelius reaches the same conclusion about interior freedom from an entirely different century and set of circumstances, providing independent verification that Frankl’s insight is not personal or cultural but universal.” (36 words)</w:t>
            </w:r>
          </w:p>
        </w:tc>
      </w:tr>
      <w:tr>
        <w:tc>
          <w:tcPr>
            <w:tcW w:type="dxa" w:w="144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r>
              <w:rPr>
                <w:rFonts w:ascii="Arial" w:cs="Arial" w:eastAsia="Arial" w:hAnsi="Arial"/>
                <w:b/>
                <w:bCs/>
                <w:color w:val="375623"/>
                <w:sz w:val="20"/>
                <w:szCs w:val="20"/>
              </w:rPr>
              <w:t xml:space="preserve">Revised text</w:t>
            </w:r>
          </w:p>
        </w:tc>
        <w:tc>
          <w:tcPr>
            <w:tcW w:type="dxa" w:w="792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r>
              <w:rPr>
                <w:rFonts w:ascii="Arial" w:cs="Arial" w:eastAsia="Arial" w:hAnsi="Arial"/>
                <w:b w:val="false"/>
                <w:bCs w:val="false"/>
                <w:color w:val="375623"/>
                <w:sz w:val="20"/>
                <w:szCs w:val="20"/>
              </w:rPr>
              <w:t xml:space="preserve">Reduce to 20 words or fewer. Suggested: “The historical echo: Aurelius reaches the same conclusion about interior freedom from a different century and power spectrum.” (20 words exactly) Or: “Twenty centuries separate them; the argument about interior freedom does not change.” (12 words, retains the synthesis)</w:t>
            </w:r>
          </w:p>
        </w:tc>
      </w:tr>
      <w:tr>
        <w:tc>
          <w:tcPr>
            <w:tcW w:type="dxa" w:w="144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r>
              <w:rPr>
                <w:rFonts w:ascii="Arial" w:cs="Arial" w:eastAsia="Arial" w:hAnsi="Arial"/>
                <w:b/>
                <w:bCs/>
                <w:color w:val="1F3864"/>
                <w:sz w:val="20"/>
                <w:szCs w:val="20"/>
              </w:rPr>
              <w:t xml:space="preserve">Rationale</w:t>
            </w:r>
          </w:p>
        </w:tc>
        <w:tc>
          <w:tcPr>
            <w:tcW w:type="dxa" w:w="792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333333"/>
                <w:sz w:val="20"/>
                <w:szCs w:val="20"/>
              </w:rPr>
              <w:t xml:space="preserve">Blueprint Section 8: “title, author, and one sentence (maximum 20 words).” Gold Standard entries are the primary training reference for future editors. If the Gold Standard violates the word count, future editors will treat the limit as advisory.</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F3864" w:sz="4"/>
              <w:left w:val="single" w:color="1F3864" w:sz="4"/>
              <w:bottom w:val="single" w:color="1F3864" w:sz="4"/>
              <w:right w:val="single" w:color="1F3864" w:sz="4"/>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Revision ID</w:t>
            </w:r>
          </w:p>
        </w:tc>
        <w:tc>
          <w:tcPr>
            <w:tcW w:type="dxa" w:w="7920"/>
            <w:tcBorders>
              <w:top w:val="single" w:color="E6C55A" w:sz="4"/>
              <w:left w:val="single" w:color="E6C55A" w:sz="4"/>
              <w:bottom w:val="single" w:color="E6C55A" w:sz="4"/>
              <w:right w:val="single" w:color="E6C55A" w:sz="4"/>
            </w:tcBorders>
            <w:shd w:fill="FFF8E7" w:val="clear"/>
            <w:tcMar>
              <w:top w:type="dxa" w:w="70"/>
              <w:left w:type="dxa" w:w="110"/>
              <w:bottom w:type="dxa" w:w="70"/>
              <w:right w:type="dxa" w:w="110"/>
            </w:tcMar>
          </w:tcPr>
          <w:p>
            <w:r>
              <w:rPr>
                <w:rFonts w:ascii="Arial" w:cs="Arial" w:eastAsia="Arial" w:hAnsi="Arial"/>
                <w:b w:val="false"/>
                <w:bCs w:val="false"/>
                <w:color w:val="000000"/>
                <w:sz w:val="20"/>
                <w:szCs w:val="20"/>
              </w:rPr>
              <w:t xml:space="preserve">R7</w:t>
            </w:r>
          </w:p>
        </w:tc>
      </w:tr>
      <w:tr>
        <w:tc>
          <w:tcPr>
            <w:tcW w:type="dxa" w:w="144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r>
              <w:rPr>
                <w:rFonts w:ascii="Arial" w:cs="Arial" w:eastAsia="Arial" w:hAnsi="Arial"/>
                <w:b/>
                <w:bCs/>
                <w:color w:val="1F3864"/>
                <w:sz w:val="20"/>
                <w:szCs w:val="20"/>
              </w:rPr>
              <w:t xml:space="preserve">Entry</w:t>
            </w:r>
          </w:p>
        </w:tc>
        <w:tc>
          <w:tcPr>
            <w:tcW w:type="dxa" w:w="792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Meditations</w:t>
            </w:r>
          </w:p>
        </w:tc>
      </w:tr>
      <w:tr>
        <w:tc>
          <w:tcPr>
            <w:tcW w:type="dxa" w:w="144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r>
              <w:rPr>
                <w:rFonts w:ascii="Arial" w:cs="Arial" w:eastAsia="Arial" w:hAnsi="Arial"/>
                <w:b/>
                <w:bCs/>
                <w:color w:val="1F3864"/>
                <w:sz w:val="20"/>
                <w:szCs w:val="20"/>
              </w:rPr>
              <w:t xml:space="preserve">Section</w:t>
            </w:r>
          </w:p>
        </w:tc>
        <w:tc>
          <w:tcPr>
            <w:tcW w:type="dxa" w:w="792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000000"/>
                <w:sz w:val="20"/>
                <w:szCs w:val="20"/>
              </w:rPr>
              <w:t xml:space="preserve">Related Books — Man’s Search for Meaning entry</w:t>
            </w:r>
          </w:p>
        </w:tc>
      </w:tr>
      <w:tr>
        <w:tc>
          <w:tcPr>
            <w:tcW w:type="dxa" w:w="1440"/>
            <w:tcBorders>
              <w:top w:val="single" w:color="FFD966" w:sz="4"/>
              <w:left w:val="single" w:color="FFD966" w:sz="4"/>
              <w:bottom w:val="single" w:color="FFD966" w:sz="4"/>
              <w:right w:val="single" w:color="FFD966" w:sz="4"/>
            </w:tcBorders>
            <w:shd w:fill="FFF2CC" w:val="clear"/>
            <w:tcMar>
              <w:top w:type="dxa" w:w="70"/>
              <w:left w:type="dxa" w:w="110"/>
              <w:bottom w:type="dxa" w:w="70"/>
              <w:right w:type="dxa" w:w="110"/>
            </w:tcMar>
          </w:tcPr>
          <w:p>
            <w:r>
              <w:rPr>
                <w:rFonts w:ascii="Arial" w:cs="Arial" w:eastAsia="Arial" w:hAnsi="Arial"/>
                <w:b/>
                <w:bCs/>
                <w:color w:val="7F6000"/>
                <w:sz w:val="20"/>
                <w:szCs w:val="20"/>
              </w:rPr>
              <w:t xml:space="preserve">Current text</w:t>
            </w:r>
          </w:p>
        </w:tc>
        <w:tc>
          <w:tcPr>
            <w:tcW w:type="dxa" w:w="7920"/>
            <w:tcBorders>
              <w:top w:val="single" w:color="FFD966" w:sz="4"/>
              <w:left w:val="single" w:color="FFD966" w:sz="4"/>
              <w:bottom w:val="single" w:color="FFD966" w:sz="4"/>
              <w:right w:val="single" w:color="FFD966" w:sz="4"/>
            </w:tcBorders>
            <w:shd w:fill="FFF2CC" w:val="clear"/>
            <w:tcMar>
              <w:top w:type="dxa" w:w="70"/>
              <w:left w:type="dxa" w:w="110"/>
              <w:bottom w:type="dxa" w:w="70"/>
              <w:right w:type="dxa" w:w="110"/>
            </w:tcMar>
          </w:tcPr>
          <w:p>
            <w:r>
              <w:rPr>
                <w:rFonts w:ascii="Arial" w:cs="Arial" w:eastAsia="Arial" w:hAnsi="Arial"/>
                <w:b w:val="false"/>
                <w:bCs w:val="false"/>
                <w:color w:val="7F6000"/>
                <w:sz w:val="20"/>
                <w:szCs w:val="20"/>
              </w:rPr>
              <w:t xml:space="preserve">“The most important cross-tradition convergence in the library: Frankl arrives at the same claim about interior freedom from the opposite end of human experience, providing independent confirmation that Aurelius’s philosophy is not Roman or ancient but human.” (38 words)</w:t>
            </w:r>
          </w:p>
        </w:tc>
      </w:tr>
      <w:tr>
        <w:tc>
          <w:tcPr>
            <w:tcW w:type="dxa" w:w="144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r>
              <w:rPr>
                <w:rFonts w:ascii="Arial" w:cs="Arial" w:eastAsia="Arial" w:hAnsi="Arial"/>
                <w:b/>
                <w:bCs/>
                <w:color w:val="375623"/>
                <w:sz w:val="20"/>
                <w:szCs w:val="20"/>
              </w:rPr>
              <w:t xml:space="preserve">Revised text</w:t>
            </w:r>
          </w:p>
        </w:tc>
        <w:tc>
          <w:tcPr>
            <w:tcW w:type="dxa" w:w="792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r>
              <w:rPr>
                <w:rFonts w:ascii="Arial" w:cs="Arial" w:eastAsia="Arial" w:hAnsi="Arial"/>
                <w:b w:val="false"/>
                <w:bCs w:val="false"/>
                <w:color w:val="375623"/>
                <w:sz w:val="20"/>
                <w:szCs w:val="20"/>
              </w:rPr>
              <w:t xml:space="preserve">Reduce to 20 words or fewer. Suggested: “Frankl arrives at the same argument about interior freedom from the opposite end of human experience — the convergence is proof.” (22 words, borderline; tighten to: “Frankl reaches the same conclusion from the opposite end of human experience; together they prove the argument holds.” = 18 words)</w:t>
            </w:r>
          </w:p>
        </w:tc>
      </w:tr>
      <w:tr>
        <w:tc>
          <w:tcPr>
            <w:tcW w:type="dxa" w:w="1440"/>
            <w:tcBorders>
              <w:top w:val="single" w:color="8EAADB" w:sz="4"/>
              <w:left w:val="single" w:color="8EAADB" w:sz="4"/>
              <w:bottom w:val="single" w:color="8EAADB" w:sz="4"/>
              <w:right w:val="single" w:color="8EAADB" w:sz="4"/>
            </w:tcBorders>
            <w:shd w:fill="D9E2F3" w:val="clear"/>
            <w:tcMar>
              <w:top w:type="dxa" w:w="70"/>
              <w:left w:type="dxa" w:w="110"/>
              <w:bottom w:type="dxa" w:w="70"/>
              <w:right w:type="dxa" w:w="110"/>
            </w:tcMar>
          </w:tcPr>
          <w:p>
            <w:r>
              <w:rPr>
                <w:rFonts w:ascii="Arial" w:cs="Arial" w:eastAsia="Arial" w:hAnsi="Arial"/>
                <w:b/>
                <w:bCs/>
                <w:color w:val="1F3864"/>
                <w:sz w:val="20"/>
                <w:szCs w:val="20"/>
              </w:rPr>
              <w:t xml:space="preserve">Rationale</w:t>
            </w:r>
          </w:p>
        </w:tc>
        <w:tc>
          <w:tcPr>
            <w:tcW w:type="dxa" w:w="792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333333"/>
                <w:sz w:val="20"/>
                <w:szCs w:val="20"/>
              </w:rPr>
              <w:t xml:space="preserve">Blueprint Section 8: “title, author, and one sentence (maximum 20 words).” Same rationale as R6: the Gold Standard must comply with every specification it exemplifies.</w:t>
            </w:r>
          </w:p>
        </w:tc>
      </w:tr>
    </w:tbl>
    <w:p>
      <w:pPr>
        <w:spacing w:after="0" w:before="160"/>
      </w:pPr>
    </w:p>
    <w:p>
      <w:r>
        <w:br w:type="page"/>
      </w:r>
    </w:p>
    <w:p>
      <w:pPr>
        <w:pBdr>
          <w:bottom w:val="single" w:color="1F3864" w:sz="8" w:space="2"/>
        </w:pBdr>
        <w:spacing w:after="120" w:before="320"/>
      </w:pPr>
      <w:r>
        <w:rPr>
          <w:rFonts w:ascii="Arial" w:cs="Arial" w:eastAsia="Arial" w:hAnsi="Arial"/>
          <w:b/>
          <w:bCs/>
          <w:color w:val="1F3864"/>
          <w:sz w:val="32"/>
          <w:szCs w:val="32"/>
        </w:rPr>
        <w:t xml:space="preserve">8  ·  Gold Standard Designation Criteria</w:t>
      </w:r>
    </w:p>
    <w:p>
      <w:pPr>
        <w:spacing w:after="140" w:before="0"/>
        <w:jc w:val="left"/>
      </w:pPr>
      <w:r>
        <w:rPr>
          <w:rFonts w:ascii="Arial" w:cs="Arial" w:eastAsia="Arial" w:hAnsi="Arial"/>
          <w:b w:val="false"/>
          <w:bCs w:val="false"/>
          <w:i w:val="false"/>
          <w:iCs w:val="false"/>
          <w:sz w:val="22"/>
          <w:szCs w:val="22"/>
        </w:rPr>
        <w:t xml:space="preserve">For each entry to receive Gold Standard designation, it must satisfy all criteria in this checklist. The checklist is organized by entry. No entry may be designated until every criterion in its column is marked complete.</w:t>
      </w:r>
    </w:p>
    <w:p>
      <w:pPr>
        <w:spacing w:after="0" w:before="80"/>
      </w:pPr>
    </w:p>
    <w:p>
      <w:pPr>
        <w:spacing w:after="100" w:before="260"/>
      </w:pPr>
      <w:r>
        <w:rPr>
          <w:rFonts w:ascii="Arial" w:cs="Arial" w:eastAsia="Arial" w:hAnsi="Arial"/>
          <w:b/>
          <w:bCs/>
          <w:color w:val="1F3864"/>
          <w:sz w:val="26"/>
          <w:szCs w:val="26"/>
        </w:rPr>
        <w:t xml:space="preserve">Man’s Search for Meaning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3864" w:sz="4"/>
              <w:left w:val="single" w:color="1F3864" w:sz="4"/>
              <w:bottom w:val="single" w:color="1F3864" w:sz="4"/>
              <w:right w:val="single" w:color="1F3864" w:sz="4"/>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w:t>
            </w:r>
          </w:p>
        </w:tc>
        <w:tc>
          <w:tcPr>
            <w:tcW w:type="dxa" w:w="876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R6 executed: Meditations Related Book description reduced to ≤20 words</w:t>
            </w:r>
          </w:p>
        </w:tc>
      </w:tr>
      <w:tr>
        <w:tc>
          <w:tcPr>
            <w:tcW w:type="dxa" w:w="60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r>
              <w:rPr>
                <w:rFonts w:ascii="Arial" w:cs="Arial" w:eastAsia="Arial" w:hAnsi="Arial"/>
                <w:b/>
                <w:bCs/>
                <w:color w:val="375623"/>
                <w:sz w:val="20"/>
                <w:szCs w:val="20"/>
              </w:rPr>
              <w:t xml:space="preserve">✓</w:t>
            </w:r>
          </w:p>
        </w:tc>
        <w:tc>
          <w:tcPr>
            <w:tcW w:type="dxa" w:w="876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444444"/>
                <w:sz w:val="20"/>
                <w:szCs w:val="20"/>
              </w:rPr>
              <w:t xml:space="preserve">Opening Hook: meets standard without revision</w:t>
            </w:r>
          </w:p>
        </w:tc>
      </w:tr>
      <w:tr>
        <w:tc>
          <w:tcPr>
            <w:tcW w:type="dxa" w:w="60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r>
              <w:rPr>
                <w:rFonts w:ascii="Arial" w:cs="Arial" w:eastAsia="Arial" w:hAnsi="Arial"/>
                <w:b/>
                <w:bCs/>
                <w:color w:val="375623"/>
                <w:sz w:val="20"/>
                <w:szCs w:val="20"/>
              </w:rPr>
              <w:t xml:space="preserve">✓</w:t>
            </w:r>
          </w:p>
        </w:tc>
        <w:tc>
          <w:tcPr>
            <w:tcW w:type="dxa" w:w="876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444444"/>
                <w:sz w:val="20"/>
                <w:szCs w:val="20"/>
              </w:rPr>
              <w:t xml:space="preserve">Book Analysis: central argument, three frameworks, limitation statement all present</w:t>
            </w:r>
          </w:p>
        </w:tc>
      </w:tr>
      <w:tr>
        <w:tc>
          <w:tcPr>
            <w:tcW w:type="dxa" w:w="60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r>
              <w:rPr>
                <w:rFonts w:ascii="Arial" w:cs="Arial" w:eastAsia="Arial" w:hAnsi="Arial"/>
                <w:b/>
                <w:bCs/>
                <w:color w:val="375623"/>
                <w:sz w:val="20"/>
                <w:szCs w:val="20"/>
              </w:rPr>
              <w:t xml:space="preserve">✓</w:t>
            </w:r>
          </w:p>
        </w:tc>
        <w:tc>
          <w:tcPr>
            <w:tcW w:type="dxa" w:w="876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444444"/>
                <w:sz w:val="20"/>
                <w:szCs w:val="20"/>
              </w:rPr>
              <w:t xml:space="preserve">Leadership Transition Commentary: military-specific mechanism named; limitation acknowledged; honest send-off</w:t>
            </w:r>
          </w:p>
        </w:tc>
      </w:tr>
      <w:tr>
        <w:tc>
          <w:tcPr>
            <w:tcW w:type="dxa" w:w="60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r>
              <w:rPr>
                <w:rFonts w:ascii="Arial" w:cs="Arial" w:eastAsia="Arial" w:hAnsi="Arial"/>
                <w:b/>
                <w:bCs/>
                <w:color w:val="375623"/>
                <w:sz w:val="20"/>
                <w:szCs w:val="20"/>
              </w:rPr>
              <w:t xml:space="preserve">✓</w:t>
            </w:r>
          </w:p>
        </w:tc>
        <w:tc>
          <w:tcPr>
            <w:tcW w:type="dxa" w:w="876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444444"/>
                <w:sz w:val="20"/>
                <w:szCs w:val="20"/>
              </w:rPr>
              <w:t xml:space="preserve">Practical Applications: five applications, each action-directed; no reading instructions</w:t>
            </w:r>
          </w:p>
        </w:tc>
      </w:tr>
      <w:tr>
        <w:tc>
          <w:tcPr>
            <w:tcW w:type="dxa" w:w="60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r>
              <w:rPr>
                <w:rFonts w:ascii="Arial" w:cs="Arial" w:eastAsia="Arial" w:hAnsi="Arial"/>
                <w:b/>
                <w:bCs/>
                <w:color w:val="375623"/>
                <w:sz w:val="20"/>
                <w:szCs w:val="20"/>
              </w:rPr>
              <w:t xml:space="preserve">✓</w:t>
            </w:r>
          </w:p>
        </w:tc>
        <w:tc>
          <w:tcPr>
            <w:tcW w:type="dxa" w:w="876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444444"/>
                <w:sz w:val="20"/>
                <w:szCs w:val="20"/>
              </w:rPr>
              <w:t xml:space="preserve">Reflection Questions: four questions, four categories, no presupposition of transition stage</w:t>
            </w:r>
          </w:p>
        </w:tc>
      </w:tr>
      <w:tr>
        <w:tc>
          <w:tcPr>
            <w:tcW w:type="dxa" w:w="60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r>
              <w:rPr>
                <w:rFonts w:ascii="Arial" w:cs="Arial" w:eastAsia="Arial" w:hAnsi="Arial"/>
                <w:b/>
                <w:bCs/>
                <w:color w:val="375623"/>
                <w:sz w:val="20"/>
                <w:szCs w:val="20"/>
              </w:rPr>
              <w:t xml:space="preserve">✓</w:t>
            </w:r>
          </w:p>
        </w:tc>
        <w:tc>
          <w:tcPr>
            <w:tcW w:type="dxa" w:w="876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444444"/>
                <w:sz w:val="20"/>
                <w:szCs w:val="20"/>
              </w:rPr>
              <w:t xml:space="preserve">Cross-Book Connections: four connections, three tradition-boundary crossings, synthesis observations present in all four</w:t>
            </w:r>
          </w:p>
        </w:tc>
      </w:tr>
      <w:tr>
        <w:tc>
          <w:tcPr>
            <w:tcW w:type="dxa" w:w="60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r>
              <w:rPr>
                <w:rFonts w:ascii="Arial" w:cs="Arial" w:eastAsia="Arial" w:hAnsi="Arial"/>
                <w:b/>
                <w:bCs/>
                <w:color w:val="375623"/>
                <w:sz w:val="20"/>
                <w:szCs w:val="20"/>
              </w:rPr>
              <w:t xml:space="preserve">✓</w:t>
            </w:r>
          </w:p>
        </w:tc>
        <w:tc>
          <w:tcPr>
            <w:tcW w:type="dxa" w:w="876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444444"/>
                <w:sz w:val="20"/>
                <w:szCs w:val="20"/>
              </w:rPr>
              <w:t xml:space="preserve">Closing Reflection: all four elements present; final sentence is exemplary</w:t>
            </w:r>
          </w:p>
        </w:tc>
      </w:tr>
      <w:tr>
        <w:tc>
          <w:tcPr>
            <w:tcW w:type="dxa" w:w="60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r>
              <w:rPr>
                <w:rFonts w:ascii="Arial" w:cs="Arial" w:eastAsia="Arial" w:hAnsi="Arial"/>
                <w:b/>
                <w:bCs/>
                <w:color w:val="375623"/>
                <w:sz w:val="20"/>
                <w:szCs w:val="20"/>
              </w:rPr>
              <w:t xml:space="preserve">✓</w:t>
            </w:r>
          </w:p>
        </w:tc>
        <w:tc>
          <w:tcPr>
            <w:tcW w:type="dxa" w:w="876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444444"/>
                <w:sz w:val="20"/>
                <w:szCs w:val="20"/>
              </w:rPr>
              <w:t xml:space="preserve">Related Books: five titles, at least one not appearing in Cross-Book connections (Good to Great)</w:t>
            </w:r>
          </w:p>
        </w:tc>
      </w:tr>
    </w:tbl>
    <w:p>
      <w:pPr>
        <w:spacing w:after="0" w:before="100"/>
      </w:pPr>
    </w:p>
    <w:p>
      <w:pPr>
        <w:spacing w:after="100" w:before="260"/>
      </w:pPr>
      <w:r>
        <w:rPr>
          <w:rFonts w:ascii="Arial" w:cs="Arial" w:eastAsia="Arial" w:hAnsi="Arial"/>
          <w:b/>
          <w:bCs/>
          <w:color w:val="1F3864"/>
          <w:sz w:val="26"/>
          <w:szCs w:val="26"/>
        </w:rPr>
        <w:t xml:space="preserve">Meditations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3864" w:sz="4"/>
              <w:left w:val="single" w:color="1F3864" w:sz="4"/>
              <w:bottom w:val="single" w:color="1F3864" w:sz="4"/>
              <w:right w:val="single" w:color="1F3864" w:sz="4"/>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w:t>
            </w:r>
          </w:p>
        </w:tc>
        <w:tc>
          <w:tcPr>
            <w:tcW w:type="dxa" w:w="876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R3 executed: Opening Hook first sentence revised to place reader inside own experience</w:t>
            </w:r>
          </w:p>
        </w:tc>
      </w:tr>
      <w:tr>
        <w:tc>
          <w:tcPr>
            <w:tcW w:type="dxa" w:w="600"/>
            <w:tcBorders>
              <w:top w:val="single" w:color="1F3864" w:sz="4"/>
              <w:left w:val="single" w:color="1F3864" w:sz="4"/>
              <w:bottom w:val="single" w:color="1F3864" w:sz="4"/>
              <w:right w:val="single" w:color="1F3864" w:sz="4"/>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w:t>
            </w:r>
          </w:p>
        </w:tc>
        <w:tc>
          <w:tcPr>
            <w:tcW w:type="dxa" w:w="876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000000"/>
                <w:sz w:val="20"/>
                <w:szCs w:val="20"/>
              </w:rPr>
              <w:t xml:space="preserve">R4 executed: Practical Applications Item 1 reframed from reading instruction to applied action</w:t>
            </w:r>
          </w:p>
        </w:tc>
      </w:tr>
      <w:tr>
        <w:tc>
          <w:tcPr>
            <w:tcW w:type="dxa" w:w="600"/>
            <w:tcBorders>
              <w:top w:val="single" w:color="1F3864" w:sz="4"/>
              <w:left w:val="single" w:color="1F3864" w:sz="4"/>
              <w:bottom w:val="single" w:color="1F3864" w:sz="4"/>
              <w:right w:val="single" w:color="1F3864" w:sz="4"/>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w:t>
            </w:r>
          </w:p>
        </w:tc>
        <w:tc>
          <w:tcPr>
            <w:tcW w:type="dxa" w:w="876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R7 executed: Man’s Search for Meaning Related Book description reduced to ≤20 words</w:t>
            </w:r>
          </w:p>
        </w:tc>
      </w:tr>
      <w:tr>
        <w:tc>
          <w:tcPr>
            <w:tcW w:type="dxa" w:w="60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r>
              <w:rPr>
                <w:rFonts w:ascii="Arial" w:cs="Arial" w:eastAsia="Arial" w:hAnsi="Arial"/>
                <w:b/>
                <w:bCs/>
                <w:color w:val="375623"/>
                <w:sz w:val="20"/>
                <w:szCs w:val="20"/>
              </w:rPr>
              <w:t xml:space="preserve">✓</w:t>
            </w:r>
          </w:p>
        </w:tc>
        <w:tc>
          <w:tcPr>
            <w:tcW w:type="dxa" w:w="876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444444"/>
                <w:sz w:val="20"/>
                <w:szCs w:val="20"/>
              </w:rPr>
              <w:t xml:space="preserve">Book Analysis: central argument clear, three frameworks named, limitation statement present</w:t>
            </w:r>
          </w:p>
        </w:tc>
      </w:tr>
      <w:tr>
        <w:tc>
          <w:tcPr>
            <w:tcW w:type="dxa" w:w="60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r>
              <w:rPr>
                <w:rFonts w:ascii="Arial" w:cs="Arial" w:eastAsia="Arial" w:hAnsi="Arial"/>
                <w:b/>
                <w:bCs/>
                <w:color w:val="375623"/>
                <w:sz w:val="20"/>
                <w:szCs w:val="20"/>
              </w:rPr>
              <w:t xml:space="preserve">✓</w:t>
            </w:r>
          </w:p>
        </w:tc>
        <w:tc>
          <w:tcPr>
            <w:tcW w:type="dxa" w:w="876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444444"/>
                <w:sz w:val="20"/>
                <w:szCs w:val="20"/>
              </w:rPr>
              <w:t xml:space="preserve">Leadership Transition Commentary: inverse-of-Aurelius framing is exemplary; all five requirements met</w:t>
            </w:r>
          </w:p>
        </w:tc>
      </w:tr>
      <w:tr>
        <w:tc>
          <w:tcPr>
            <w:tcW w:type="dxa" w:w="60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r>
              <w:rPr>
                <w:rFonts w:ascii="Arial" w:cs="Arial" w:eastAsia="Arial" w:hAnsi="Arial"/>
                <w:b/>
                <w:bCs/>
                <w:color w:val="375623"/>
                <w:sz w:val="20"/>
                <w:szCs w:val="20"/>
              </w:rPr>
              <w:t xml:space="preserve">✓</w:t>
            </w:r>
          </w:p>
        </w:tc>
        <w:tc>
          <w:tcPr>
            <w:tcW w:type="dxa" w:w="876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444444"/>
                <w:sz w:val="20"/>
                <w:szCs w:val="20"/>
              </w:rPr>
              <w:t xml:space="preserve">Reflection Questions: four questions, four categories, appropriately staged</w:t>
            </w:r>
          </w:p>
        </w:tc>
      </w:tr>
      <w:tr>
        <w:tc>
          <w:tcPr>
            <w:tcW w:type="dxa" w:w="60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r>
              <w:rPr>
                <w:rFonts w:ascii="Arial" w:cs="Arial" w:eastAsia="Arial" w:hAnsi="Arial"/>
                <w:b/>
                <w:bCs/>
                <w:color w:val="375623"/>
                <w:sz w:val="20"/>
                <w:szCs w:val="20"/>
              </w:rPr>
              <w:t xml:space="preserve">✓</w:t>
            </w:r>
          </w:p>
        </w:tc>
        <w:tc>
          <w:tcPr>
            <w:tcW w:type="dxa" w:w="876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444444"/>
                <w:sz w:val="20"/>
                <w:szCs w:val="20"/>
              </w:rPr>
              <w:t xml:space="preserve">Cross-Book Connections: four connections, three tradition-boundary crossings, synthesis observations in all four</w:t>
            </w:r>
          </w:p>
        </w:tc>
      </w:tr>
      <w:tr>
        <w:tc>
          <w:tcPr>
            <w:tcW w:type="dxa" w:w="60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r>
              <w:rPr>
                <w:rFonts w:ascii="Arial" w:cs="Arial" w:eastAsia="Arial" w:hAnsi="Arial"/>
                <w:b/>
                <w:bCs/>
                <w:color w:val="375623"/>
                <w:sz w:val="20"/>
                <w:szCs w:val="20"/>
              </w:rPr>
              <w:t xml:space="preserve">✓</w:t>
            </w:r>
          </w:p>
        </w:tc>
        <w:tc>
          <w:tcPr>
            <w:tcW w:type="dxa" w:w="876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444444"/>
                <w:sz w:val="20"/>
                <w:szCs w:val="20"/>
              </w:rPr>
              <w:t xml:space="preserve">Closing Reflection: all four elements; final paragraph is exemplary</w:t>
            </w:r>
          </w:p>
        </w:tc>
      </w:tr>
      <w:tr>
        <w:tc>
          <w:tcPr>
            <w:tcW w:type="dxa" w:w="60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r>
              <w:rPr>
                <w:rFonts w:ascii="Arial" w:cs="Arial" w:eastAsia="Arial" w:hAnsi="Arial"/>
                <w:b/>
                <w:bCs/>
                <w:color w:val="375623"/>
                <w:sz w:val="20"/>
                <w:szCs w:val="20"/>
              </w:rPr>
              <w:t xml:space="preserve">✓</w:t>
            </w:r>
          </w:p>
        </w:tc>
        <w:tc>
          <w:tcPr>
            <w:tcW w:type="dxa" w:w="876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444444"/>
                <w:sz w:val="20"/>
                <w:szCs w:val="20"/>
              </w:rPr>
              <w:t xml:space="preserve">Related Books: five titles, at least one not appearing in Cross-Book connections (Extreme Ownership)</w:t>
            </w:r>
          </w:p>
        </w:tc>
      </w:tr>
    </w:tbl>
    <w:p>
      <w:pPr>
        <w:spacing w:after="0" w:before="100"/>
      </w:pPr>
    </w:p>
    <w:p>
      <w:pPr>
        <w:spacing w:after="100" w:before="260"/>
      </w:pPr>
      <w:r>
        <w:rPr>
          <w:rFonts w:ascii="Arial" w:cs="Arial" w:eastAsia="Arial" w:hAnsi="Arial"/>
          <w:b/>
          <w:bCs/>
          <w:color w:val="1F3864"/>
          <w:sz w:val="26"/>
          <w:szCs w:val="26"/>
        </w:rPr>
        <w:t xml:space="preserve">Ego Is the Enemy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3864" w:sz="4"/>
              <w:left w:val="single" w:color="1F3864" w:sz="4"/>
              <w:bottom w:val="single" w:color="1F3864" w:sz="4"/>
              <w:right w:val="single" w:color="1F3864" w:sz="4"/>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w:t>
            </w:r>
          </w:p>
        </w:tc>
        <w:tc>
          <w:tcPr>
            <w:tcW w:type="dxa" w:w="876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R1 executed: Closing Reflection final sentence replaced with grounded reader-directed close</w:t>
            </w:r>
          </w:p>
        </w:tc>
      </w:tr>
      <w:tr>
        <w:tc>
          <w:tcPr>
            <w:tcW w:type="dxa" w:w="600"/>
            <w:tcBorders>
              <w:top w:val="single" w:color="1F3864" w:sz="4"/>
              <w:left w:val="single" w:color="1F3864" w:sz="4"/>
              <w:bottom w:val="single" w:color="1F3864" w:sz="4"/>
              <w:right w:val="single" w:color="1F3864" w:sz="4"/>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w:t>
            </w:r>
          </w:p>
        </w:tc>
        <w:tc>
          <w:tcPr>
            <w:tcW w:type="dxa" w:w="876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000000"/>
                <w:sz w:val="20"/>
                <w:szCs w:val="20"/>
              </w:rPr>
              <w:t xml:space="preserve">R2 executed: Reflection Questions Purpose &amp; Legacy second sentence revised to remove transition-stage assumption</w:t>
            </w:r>
          </w:p>
        </w:tc>
      </w:tr>
      <w:tr>
        <w:tc>
          <w:tcPr>
            <w:tcW w:type="dxa" w:w="600"/>
            <w:tcBorders>
              <w:top w:val="single" w:color="1F3864" w:sz="4"/>
              <w:left w:val="single" w:color="1F3864" w:sz="4"/>
              <w:bottom w:val="single" w:color="1F3864" w:sz="4"/>
              <w:right w:val="single" w:color="1F3864" w:sz="4"/>
            </w:tcBorders>
            <w:shd w:fill="1F3864" w:val="clear"/>
            <w:tcMar>
              <w:top w:type="dxa" w:w="70"/>
              <w:left w:type="dxa" w:w="110"/>
              <w:bottom w:type="dxa" w:w="70"/>
              <w:right w:type="dxa" w:w="110"/>
            </w:tcMar>
          </w:tcPr>
          <w:p>
            <w:r>
              <w:rPr>
                <w:rFonts w:ascii="Arial" w:cs="Arial" w:eastAsia="Arial" w:hAnsi="Arial"/>
                <w:b/>
                <w:bCs/>
                <w:color w:val="FFFFFF"/>
                <w:sz w:val="20"/>
                <w:szCs w:val="20"/>
              </w:rPr>
              <w:t xml:space="preserve">☐</w:t>
            </w:r>
          </w:p>
        </w:tc>
        <w:tc>
          <w:tcPr>
            <w:tcW w:type="dxa" w:w="876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000000"/>
                <w:sz w:val="20"/>
                <w:szCs w:val="20"/>
              </w:rPr>
              <w:t xml:space="preserve">R5 executed: Practical Applications Item 5 reframed from reading recommendation to applied trilogy methodology</w:t>
            </w:r>
          </w:p>
        </w:tc>
      </w:tr>
      <w:tr>
        <w:tc>
          <w:tcPr>
            <w:tcW w:type="dxa" w:w="60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r>
              <w:rPr>
                <w:rFonts w:ascii="Arial" w:cs="Arial" w:eastAsia="Arial" w:hAnsi="Arial"/>
                <w:b/>
                <w:bCs/>
                <w:color w:val="375623"/>
                <w:sz w:val="20"/>
                <w:szCs w:val="20"/>
              </w:rPr>
              <w:t xml:space="preserve">✓</w:t>
            </w:r>
          </w:p>
        </w:tc>
        <w:tc>
          <w:tcPr>
            <w:tcW w:type="dxa" w:w="876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444444"/>
                <w:sz w:val="20"/>
                <w:szCs w:val="20"/>
              </w:rPr>
              <w:t xml:space="preserve">Opening Hook: exemplary; no revision required</w:t>
            </w:r>
          </w:p>
        </w:tc>
      </w:tr>
      <w:tr>
        <w:tc>
          <w:tcPr>
            <w:tcW w:type="dxa" w:w="60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r>
              <w:rPr>
                <w:rFonts w:ascii="Arial" w:cs="Arial" w:eastAsia="Arial" w:hAnsi="Arial"/>
                <w:b/>
                <w:bCs/>
                <w:color w:val="375623"/>
                <w:sz w:val="20"/>
                <w:szCs w:val="20"/>
              </w:rPr>
              <w:t xml:space="preserve">✓</w:t>
            </w:r>
          </w:p>
        </w:tc>
        <w:tc>
          <w:tcPr>
            <w:tcW w:type="dxa" w:w="876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444444"/>
                <w:sz w:val="20"/>
                <w:szCs w:val="20"/>
              </w:rPr>
              <w:t xml:space="preserve">Book Analysis: three-phase structure clear; two frameworks named; limitation precise</w:t>
            </w:r>
          </w:p>
        </w:tc>
      </w:tr>
      <w:tr>
        <w:tc>
          <w:tcPr>
            <w:tcW w:type="dxa" w:w="60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r>
              <w:rPr>
                <w:rFonts w:ascii="Arial" w:cs="Arial" w:eastAsia="Arial" w:hAnsi="Arial"/>
                <w:b/>
                <w:bCs/>
                <w:color w:val="375623"/>
                <w:sz w:val="20"/>
                <w:szCs w:val="20"/>
              </w:rPr>
              <w:t xml:space="preserve">✓</w:t>
            </w:r>
          </w:p>
        </w:tc>
        <w:tc>
          <w:tcPr>
            <w:tcW w:type="dxa" w:w="876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444444"/>
                <w:sz w:val="20"/>
                <w:szCs w:val="20"/>
              </w:rPr>
              <w:t xml:space="preserve">Leadership Transition Commentary: service-before-self/ego-dependent coexistence observation is exemplary</w:t>
            </w:r>
          </w:p>
        </w:tc>
      </w:tr>
      <w:tr>
        <w:tc>
          <w:tcPr>
            <w:tcW w:type="dxa" w:w="60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r>
              <w:rPr>
                <w:rFonts w:ascii="Arial" w:cs="Arial" w:eastAsia="Arial" w:hAnsi="Arial"/>
                <w:b/>
                <w:bCs/>
                <w:color w:val="375623"/>
                <w:sz w:val="20"/>
                <w:szCs w:val="20"/>
              </w:rPr>
              <w:t xml:space="preserve">✓</w:t>
            </w:r>
          </w:p>
        </w:tc>
        <w:tc>
          <w:tcPr>
            <w:tcW w:type="dxa" w:w="8760"/>
            <w:tcBorders>
              <w:top w:val="single" w:color="8EAADB" w:sz="4"/>
              <w:left w:val="single" w:color="8EAADB" w:sz="4"/>
              <w:bottom w:val="single" w:color="8EAADB" w:sz="4"/>
              <w:right w:val="single" w:color="8EAADB" w:sz="4"/>
            </w:tcBorders>
            <w:shd w:fill="FFFFFF" w:val="clear"/>
            <w:tcMar>
              <w:top w:type="dxa" w:w="70"/>
              <w:left w:type="dxa" w:w="110"/>
              <w:bottom w:type="dxa" w:w="70"/>
              <w:right w:type="dxa" w:w="110"/>
            </w:tcMar>
          </w:tcPr>
          <w:p>
            <w:r>
              <w:rPr>
                <w:rFonts w:ascii="Arial" w:cs="Arial" w:eastAsia="Arial" w:hAnsi="Arial"/>
                <w:b w:val="false"/>
                <w:bCs w:val="false"/>
                <w:color w:val="444444"/>
                <w:sz w:val="20"/>
                <w:szCs w:val="20"/>
              </w:rPr>
              <w:t xml:space="preserve">Cross-Book Connections: four connections, Musashi Tradition Bridge is exemplary</w:t>
            </w:r>
          </w:p>
        </w:tc>
      </w:tr>
      <w:tr>
        <w:tc>
          <w:tcPr>
            <w:tcW w:type="dxa" w:w="600"/>
            <w:tcBorders>
              <w:top w:val="single" w:color="70AD47" w:sz="4"/>
              <w:left w:val="single" w:color="70AD47" w:sz="4"/>
              <w:bottom w:val="single" w:color="70AD47" w:sz="4"/>
              <w:right w:val="single" w:color="70AD47" w:sz="4"/>
            </w:tcBorders>
            <w:shd w:fill="E2F0D9" w:val="clear"/>
            <w:tcMar>
              <w:top w:type="dxa" w:w="70"/>
              <w:left w:type="dxa" w:w="110"/>
              <w:bottom w:type="dxa" w:w="70"/>
              <w:right w:type="dxa" w:w="110"/>
            </w:tcMar>
          </w:tcPr>
          <w:p>
            <w:r>
              <w:rPr>
                <w:rFonts w:ascii="Arial" w:cs="Arial" w:eastAsia="Arial" w:hAnsi="Arial"/>
                <w:b/>
                <w:bCs/>
                <w:color w:val="375623"/>
                <w:sz w:val="20"/>
                <w:szCs w:val="20"/>
              </w:rPr>
              <w:t xml:space="preserve">✓</w:t>
            </w:r>
          </w:p>
        </w:tc>
        <w:tc>
          <w:tcPr>
            <w:tcW w:type="dxa" w:w="8760"/>
            <w:tcBorders>
              <w:top w:val="single" w:color="8EAADB" w:sz="4"/>
              <w:left w:val="single" w:color="8EAADB" w:sz="4"/>
              <w:bottom w:val="single" w:color="8EAADB" w:sz="4"/>
              <w:right w:val="single" w:color="8EAADB" w:sz="4"/>
            </w:tcBorders>
            <w:shd w:fill="EEF3FB" w:val="clear"/>
            <w:tcMar>
              <w:top w:type="dxa" w:w="70"/>
              <w:left w:type="dxa" w:w="110"/>
              <w:bottom w:type="dxa" w:w="70"/>
              <w:right w:type="dxa" w:w="110"/>
            </w:tcMar>
          </w:tcPr>
          <w:p>
            <w:r>
              <w:rPr>
                <w:rFonts w:ascii="Arial" w:cs="Arial" w:eastAsia="Arial" w:hAnsi="Arial"/>
                <w:b w:val="false"/>
                <w:bCs w:val="false"/>
                <w:color w:val="444444"/>
                <w:sz w:val="20"/>
                <w:szCs w:val="20"/>
              </w:rPr>
              <w:t xml:space="preserve">Related Books: five titles, Leaders Eat Last provides non-Cross-Book navigation</w:t>
            </w:r>
          </w:p>
        </w:tc>
      </w:tr>
    </w:tbl>
    <w:p>
      <w:pPr>
        <w:spacing w:after="0" w:before="160"/>
      </w:pPr>
    </w:p>
    <w:p>
      <w:pPr>
        <w:pBdr>
          <w:bottom w:val="single" w:color="1F3864" w:sz="8" w:space="2"/>
        </w:pBdr>
        <w:spacing w:after="120" w:before="320"/>
      </w:pPr>
      <w:r>
        <w:rPr>
          <w:rFonts w:ascii="Arial" w:cs="Arial" w:eastAsia="Arial" w:hAnsi="Arial"/>
          <w:b/>
          <w:bCs/>
          <w:color w:val="1F3864"/>
          <w:sz w:val="32"/>
          <w:szCs w:val="32"/>
        </w:rPr>
        <w:t xml:space="preserve">9  ·  Designation Verdict</w:t>
      </w:r>
    </w:p>
    <w:p>
      <w:pPr>
        <w:spacing w:after="140" w:before="0"/>
        <w:jc w:val="left"/>
      </w:pPr>
      <w:r>
        <w:rPr>
          <w:rFonts w:ascii="Arial" w:cs="Arial" w:eastAsia="Arial" w:hAnsi="Arial"/>
          <w:b w:val="false"/>
          <w:bCs w:val="false"/>
          <w:i w:val="false"/>
          <w:iCs w:val="false"/>
          <w:sz w:val="22"/>
          <w:szCs w:val="22"/>
        </w:rPr>
        <w:t xml:space="preserve">These three entries are the strongest book entries the library has produced. The Leadership Transition Commentary is the platform’s most important section, and all three entries deliver it at full extension. The Cross-Book Wisdom Connections meet every quality-control criterion in the Cross-Book Wisdom Framework. The voice discipline is consistent and correct across every section. The intellectual honesty — the willingness to name what each book cannot do — is one of the platform’s most important differentiators, and all three entries model it precisely.</w:t>
      </w:r>
    </w:p>
    <w:p>
      <w:pPr>
        <w:spacing w:after="140" w:before="0"/>
        <w:jc w:val="left"/>
      </w:pPr>
      <w:r>
        <w:rPr>
          <w:rFonts w:ascii="Arial" w:cs="Arial" w:eastAsia="Arial" w:hAnsi="Arial"/>
          <w:b w:val="false"/>
          <w:bCs w:val="false"/>
          <w:i w:val="false"/>
          <w:iCs w:val="false"/>
          <w:sz w:val="22"/>
          <w:szCs w:val="22"/>
        </w:rPr>
        <w:t xml:space="preserve">Seven specific revisions stand between the current state and Gold Standard designation. None of the seven require architectural change. All seven are sentence-level or paragraph-level corrections to specific, named deficiencies. The entries should not be redesignated as Gold Standard until all seven are executed — not because the current versions are not excellent, but because Gold Standard entries teach the standard through their example. Every deviation that survives into the Gold Standard becomes a permission slip for future editors.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9A84C" w:sz="8"/>
              <w:left w:val="single" w:color="C9A84C" w:sz="8"/>
              <w:bottom w:val="single" w:color="C9A84C" w:sz="8"/>
              <w:right w:val="none" w:color="FFFFFF" w:sz="0"/>
            </w:tcBorders>
            <w:shd w:fill="C9A84C"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DESIGNATION</w:t>
            </w:r>
          </w:p>
        </w:tc>
        <w:tc>
          <w:tcPr>
            <w:tcW w:type="dxa" w:w="8640"/>
            <w:tcBorders>
              <w:top w:val="single" w:color="C9A84C" w:sz="8"/>
              <w:left w:val="none" w:color="FFFFFF" w:sz="0"/>
              <w:bottom w:val="single" w:color="C9A84C" w:sz="8"/>
              <w:right w:val="single" w:color="C9A84C" w:sz="8"/>
            </w:tcBorders>
            <w:shd w:fill="FFF8E7" w:val="clear"/>
            <w:tcMar>
              <w:top w:type="dxa" w:w="100"/>
              <w:left w:type="dxa" w:w="160"/>
              <w:bottom w:type="dxa" w:w="100"/>
              <w:right w:type="dxa" w:w="140"/>
            </w:tcMar>
          </w:tcPr>
          <w:p>
            <w:r>
              <w:rPr>
                <w:rFonts w:ascii="Arial" w:cs="Arial" w:eastAsia="Arial" w:hAnsi="Arial"/>
                <w:color w:val="7A5C00"/>
                <w:sz w:val="21"/>
                <w:szCs w:val="21"/>
              </w:rPr>
              <w:t xml:space="preserve">CONDITIONAL APPROVAL
All three entries are approved for Gold Standard designation upon completion of revisions R1 through R7 as specified in Section 7. No additional review is required following those revisions provided the revisions match the specifications given. If the revisions produce substantive changes beyond the scope described, a secondary review of the affected sections is required before designation is finalized.
Upon designation, these three entries become the permanent reference standard for the Leadership Through Transition library. They should be provided in full to every editor prior to their first entry. The Gold Standard designation should not be removed or amended without a full editorial review.</w:t>
            </w:r>
          </w:p>
        </w:tc>
      </w:tr>
    </w:tbl>
    <w:p>
      <w:pPr>
        <w:spacing w:after="0" w:before="100"/>
      </w:pPr>
    </w:p>
    <w:p>
      <w:pPr>
        <w:pBdr>
          <w:bottom w:val="single" w:color="8EAADB" w:sz="4" w:space="1"/>
        </w:pBdr>
        <w:spacing w:after="120" w:before="120"/>
      </w:pPr>
    </w:p>
    <w:p>
      <w:pPr>
        <w:spacing w:after="60" w:before="120"/>
        <w:jc w:val="center"/>
      </w:pPr>
      <w:r>
        <w:rPr>
          <w:rFonts w:ascii="Arial" w:cs="Arial" w:eastAsia="Arial" w:hAnsi="Arial"/>
          <w:i/>
          <w:iCs/>
          <w:color w:val="555555"/>
          <w:sz w:val="20"/>
          <w:szCs w:val="20"/>
        </w:rPr>
        <w:t xml:space="preserve">Leadership Through Transition  ·  Gold Standard Review  ·  Identity Trilogy</w:t>
      </w:r>
    </w:p>
    <w:p>
      <w:pPr>
        <w:spacing w:after="0" w:before="0"/>
        <w:jc w:val="center"/>
      </w:pPr>
      <w:r>
        <w:rPr>
          <w:rFonts w:ascii="Arial" w:cs="Arial" w:eastAsia="Arial" w:hAnsi="Arial"/>
          <w:color w:val="888888"/>
          <w:sz w:val="18"/>
          <w:szCs w:val="18"/>
        </w:rPr>
        <w:t xml:space="preserve">Version 1.0  ·  June 2025  ·  Editorial Standards Division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2026-06-12T05:53:15.958Z</dcterms:created>
  <dcterms:modified xsi:type="dcterms:W3CDTF">2026-06-12T05:53:15.978Z</dcterms:modified>
</cp:coreProperties>
</file>

<file path=docProps/custom.xml><?xml version="1.0" encoding="utf-8"?>
<Properties xmlns="http://schemas.openxmlformats.org/officeDocument/2006/custom-properties" xmlns:vt="http://schemas.openxmlformats.org/officeDocument/2006/docPropsVTypes"/>
</file>