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120" w:before="0"/>
        <w:jc w:val="center"/>
      </w:pPr>
      <w:r>
        <w:rPr>
          <w:rFonts w:ascii="Arial" w:cs="Arial" w:eastAsia="Arial" w:hAnsi="Arial"/>
          <w:b/>
          <w:bCs/>
          <w:color w:val="1B3A5C"/>
          <w:sz w:val="56"/>
          <w:szCs w:val="56"/>
        </w:rPr>
        <w:t xml:space="preserve">LEADERSHIP THROUGH TRANSITION</w:t>
      </w:r>
    </w:p>
    <w:p>
      <w:pPr>
        <w:spacing w:after="80" w:before="0"/>
        <w:jc w:val="center"/>
      </w:pPr>
      <w:r>
        <w:rPr>
          <w:rFonts w:ascii="Arial" w:cs="Arial" w:eastAsia="Arial" w:hAnsi="Arial"/>
          <w:color w:val="B8960C"/>
          <w:sz w:val="36"/>
          <w:szCs w:val="36"/>
        </w:rPr>
        <w:t xml:space="preserve">Theme Intelligence Pages</w:t>
      </w:r>
    </w:p>
    <w:p>
      <w:pPr>
        <w:spacing w:after="320" w:before="0"/>
        <w:jc w:val="center"/>
      </w:pPr>
      <w:r>
        <w:rPr>
          <w:rFonts w:ascii="Arial" w:cs="Arial" w:eastAsia="Arial" w:hAnsi="Arial"/>
          <w:color w:val="4A5568"/>
          <w:sz w:val="20"/>
          <w:szCs w:val="20"/>
        </w:rPr>
        <w:t xml:space="preserve">Cross-Library Wisdom Synthesis  ·  Version 1.0  ·  June 2025</w:t>
      </w:r>
    </w:p>
    <w:p>
      <w:pPr>
        <w:pBdr>
          <w:bottom w:val="single" w:color="B8960C" w:sz="6" w:space="1"/>
        </w:pBdr>
        <w:spacing w:after="80" w:before="0"/>
        <w:jc w:val="center"/>
      </w:pPr>
    </w:p>
    <w:p>
      <w:pPr>
        <w:spacing w:after="0" w:before="160"/>
      </w:pPr>
    </w:p>
    <w:p>
      <w:pPr>
        <w:spacing w:after="80" w:before="0"/>
        <w:jc w:val="center"/>
      </w:pPr>
      <w:r>
        <w:rPr>
          <w:rFonts w:ascii="Arial" w:cs="Arial" w:eastAsia="Arial" w:hAnsi="Arial"/>
          <w:b/>
          <w:bCs/>
          <w:color w:val="1B3A5C"/>
          <w:sz w:val="22"/>
          <w:szCs w:val="22"/>
        </w:rPr>
        <w:t xml:space="preserve">Themes in This Document</w:t>
      </w:r>
    </w:p>
    <w:p>
      <w:pPr>
        <w:spacing w:after="40" w:before="0"/>
        <w:jc w:val="center"/>
      </w:pPr>
      <w:r>
        <w:rPr>
          <w:rFonts w:ascii="Arial" w:cs="Arial" w:eastAsia="Arial" w:hAnsi="Arial"/>
          <w:color w:val="4A5568"/>
          <w:sz w:val="20"/>
          <w:szCs w:val="20"/>
        </w:rPr>
        <w:t xml:space="preserve">1.  Identity  —  Who are you when the rank is gone?</w:t>
      </w:r>
    </w:p>
    <w:p>
      <w:pPr>
        <w:spacing w:after="40" w:before="0"/>
        <w:jc w:val="center"/>
      </w:pPr>
      <w:r>
        <w:rPr>
          <w:rFonts w:ascii="Arial" w:cs="Arial" w:eastAsia="Arial" w:hAnsi="Arial"/>
          <w:color w:val="4A5568"/>
          <w:sz w:val="20"/>
          <w:szCs w:val="20"/>
        </w:rPr>
        <w:t xml:space="preserve">2.  Purpose  —  What are you for — now, and in the chapter ahead?</w:t>
      </w:r>
    </w:p>
    <w:p>
      <w:pPr>
        <w:spacing w:after="40" w:before="0"/>
        <w:jc w:val="center"/>
      </w:pPr>
      <w:r>
        <w:rPr>
          <w:rFonts w:ascii="Arial" w:cs="Arial" w:eastAsia="Arial" w:hAnsi="Arial"/>
          <w:color w:val="4A5568"/>
          <w:sz w:val="20"/>
          <w:szCs w:val="20"/>
        </w:rPr>
        <w:t xml:space="preserve">3.  Meaning  —  Why is the sacrifice, difficulty, and uncertainty worth enduring?</w:t>
      </w:r>
    </w:p>
    <w:p>
      <w:pPr>
        <w:spacing w:after="40" w:before="0"/>
        <w:jc w:val="center"/>
      </w:pPr>
      <w:r>
        <w:rPr>
          <w:rFonts w:ascii="Arial" w:cs="Arial" w:eastAsia="Arial" w:hAnsi="Arial"/>
          <w:color w:val="4A5568"/>
          <w:sz w:val="20"/>
          <w:szCs w:val="20"/>
        </w:rPr>
        <w:t xml:space="preserve">4.  Service  —  What does leading as service look like when rank no longer confers it?</w:t>
      </w:r>
    </w:p>
    <w:p>
      <w:pPr>
        <w:spacing w:after="40" w:before="0"/>
        <w:jc w:val="center"/>
      </w:pPr>
      <w:r>
        <w:rPr>
          <w:rFonts w:ascii="Arial" w:cs="Arial" w:eastAsia="Arial" w:hAnsi="Arial"/>
          <w:color w:val="4A5568"/>
          <w:sz w:val="20"/>
          <w:szCs w:val="20"/>
        </w:rPr>
        <w:t xml:space="preserve">5.  Trust  —  What builds the trust that authority used to provide automatically?</w:t>
      </w:r>
    </w:p>
    <w:p>
      <w:pPr>
        <w:spacing w:after="40" w:before="0"/>
        <w:jc w:val="center"/>
      </w:pPr>
      <w:r>
        <w:rPr>
          <w:rFonts w:ascii="Arial" w:cs="Arial" w:eastAsia="Arial" w:hAnsi="Arial"/>
          <w:color w:val="4A5568"/>
          <w:sz w:val="20"/>
          <w:szCs w:val="20"/>
        </w:rPr>
        <w:t xml:space="preserve">6.  Accountability  —  Where does complete ownership of outcomes begin — and what prevents it?</w:t>
      </w:r>
    </w:p>
    <w:p>
      <w:pPr>
        <w:spacing w:after="40" w:before="0"/>
        <w:jc w:val="center"/>
      </w:pPr>
      <w:r>
        <w:rPr>
          <w:rFonts w:ascii="Arial" w:cs="Arial" w:eastAsia="Arial" w:hAnsi="Arial"/>
          <w:color w:val="4A5568"/>
          <w:sz w:val="20"/>
          <w:szCs w:val="20"/>
        </w:rPr>
        <w:t xml:space="preserve">7.  Resilience  —  What framework makes adversity a condition of growth rather than an interruption of it?</w:t>
      </w:r>
    </w:p>
    <w:p>
      <w:pPr>
        <w:spacing w:after="40" w:before="0"/>
        <w:jc w:val="center"/>
      </w:pPr>
      <w:r>
        <w:rPr>
          <w:rFonts w:ascii="Arial" w:cs="Arial" w:eastAsia="Arial" w:hAnsi="Arial"/>
          <w:color w:val="4A5568"/>
          <w:sz w:val="20"/>
          <w:szCs w:val="20"/>
        </w:rPr>
        <w:t xml:space="preserve">8.  Leadership  —  What does it mean to lead when the institutional conditions of leadership have changed?</w:t>
      </w:r>
    </w:p>
    <w:p>
      <w:r>
        <w:br w:type="page"/>
      </w:r>
    </w:p>
    <w:p>
      <w:pPr>
        <w:spacing w:after="80" w:before="0"/>
      </w:pPr>
      <w:r>
        <w:rPr>
          <w:rFonts w:ascii="Arial" w:cs="Arial" w:eastAsia="Arial" w:hAnsi="Arial"/>
          <w:b/>
          <w:bCs/>
          <w:color w:val="1B3A5C"/>
          <w:sz w:val="52"/>
          <w:szCs w:val="52"/>
        </w:rPr>
        <w:t xml:space="preserve">IDENTITY</w:t>
      </w:r>
    </w:p>
    <w:p>
      <w:pPr>
        <w:spacing w:after="240" w:before="0"/>
      </w:pPr>
      <w:r>
        <w:rPr>
          <w:rFonts w:ascii="Arial" w:cs="Arial" w:eastAsia="Arial" w:hAnsi="Arial"/>
          <w:b/>
          <w:bCs/>
          <w:color w:val="B8960C"/>
          <w:sz w:val="24"/>
          <w:szCs w:val="24"/>
        </w:rPr>
        <w:t xml:space="preserve">Who are you when the rank is gone?</w:t>
      </w:r>
    </w:p>
    <w:p>
      <w:pPr>
        <w:pBdr>
          <w:bottom w:val="single" w:color="B8960C" w:sz="4" w:space="1"/>
        </w:pBdr>
        <w:spacing w:after="300" w:before="100"/>
      </w:pPr>
    </w:p>
    <w:p>
      <w:pPr>
        <w:spacing w:after="120" w:before="320"/>
      </w:pPr>
      <w:r>
        <w:rPr>
          <w:rFonts w:ascii="Arial" w:cs="Arial" w:eastAsia="Arial" w:hAnsi="Arial"/>
          <w:b/>
          <w:bCs/>
          <w:color w:val="1B3A5C"/>
          <w:sz w:val="18"/>
          <w:szCs w:val="18"/>
        </w:rPr>
        <w:t xml:space="preserve">THEME DEFINITION</w:t>
      </w:r>
    </w:p>
    <w:p>
      <w:pPr>
        <w:spacing w:after="160" w:before="0"/>
      </w:pPr>
      <w:r>
        <w:rPr>
          <w:rFonts w:ascii="Arial" w:cs="Arial" w:eastAsia="Arial" w:hAnsi="Arial"/>
          <w:color w:val="4A5568"/>
          <w:sz w:val="20"/>
          <w:szCs w:val="20"/>
        </w:rPr>
        <w:t xml:space="preserve">Within this library, identity refers to the architecture of self that persists when institutional markers — rank, title, role, and organizational belonging — are removed. It is not personality, and it is not credentials. It is the stable foundation of values, commitments, and character from which all effective leadership ultimately operates. For the military leader in transition, identity is the central question: not what comes next professionally, but who the person actually is when the institution is no longer doing that work for them.</w:t>
      </w:r>
    </w:p>
    <w:p>
      <w:pPr>
        <w:spacing w:after="0" w:before="100"/>
      </w:pPr>
    </w:p>
    <w:p>
      <w:pPr>
        <w:spacing w:after="120" w:before="320"/>
      </w:pPr>
      <w:r>
        <w:rPr>
          <w:rFonts w:ascii="Arial" w:cs="Arial" w:eastAsia="Arial" w:hAnsi="Arial"/>
          <w:b/>
          <w:bCs/>
          <w:color w:val="1B3A5C"/>
          <w:sz w:val="18"/>
          <w:szCs w:val="18"/>
        </w:rPr>
        <w:t xml:space="preserve">THEME AT A GLANCE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Primary Books</w:t>
            </w:r>
          </w:p>
        </w:tc>
        <w:tc>
          <w:tcPr>
            <w:tcW w:type="dxa" w:w="71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4A5568"/>
                <w:sz w:val="18"/>
                <w:szCs w:val="18"/>
              </w:rPr>
              <w:t xml:space="preserve">Man's Search for Meaning · Frankl  ·  Meditations · Aurelius  ·  Ego Is the Enemy · Holiday  ·  Leadership and Self-Deception · Arbinger  ·  The 7 Habits · Covey  ·  The Servant as Leader · Greenleaf</w:t>
            </w:r>
          </w:p>
        </w:tc>
      </w:tr>
    </w:tbl>
    <w:p>
      <w:pPr>
        <w:spacing w:after="0" w:before="200"/>
      </w:pPr>
    </w:p>
    <w:p>
      <w:pPr>
        <w:spacing w:after="120" w:before="320"/>
      </w:pPr>
      <w:r>
        <w:rPr>
          <w:rFonts w:ascii="Arial" w:cs="Arial" w:eastAsia="Arial" w:hAnsi="Arial"/>
          <w:b/>
          <w:bCs/>
          <w:color w:val="1B3A5C"/>
          <w:sz w:val="18"/>
          <w:szCs w:val="18"/>
        </w:rPr>
        <w:t xml:space="preserve">WHERE THE AUTHORS CONVERGE</w:t>
      </w:r>
    </w:p>
    <w:p>
      <w:pPr>
        <w:spacing w:after="160" w:before="0"/>
      </w:pPr>
      <w:r>
        <w:rPr>
          <w:rFonts w:ascii="Arial" w:cs="Arial" w:eastAsia="Arial" w:hAnsi="Arial"/>
          <w:color w:val="4A5568"/>
          <w:sz w:val="20"/>
          <w:szCs w:val="20"/>
        </w:rPr>
        <w:t xml:space="preserve">The following convergences represent the specific points where books from different traditions, eras, or genres arrive at the same essential insight independently — the library's strongest evidence for what is genuinely true about this theme.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before="0"/>
            </w:pPr>
            <w:r>
              <w:rPr>
                <w:rFonts w:ascii="Arial" w:cs="Arial" w:eastAsia="Arial" w:hAnsi="Arial"/>
                <w:b/>
                <w:bCs/>
                <w:color w:val="1B3A5C"/>
                <w:sz w:val="17"/>
                <w:szCs w:val="17"/>
              </w:rPr>
              <w:t xml:space="preserve">Frankl + Aurelius</w:t>
            </w:r>
          </w:p>
          <w:p>
            <w:pPr>
              <w:spacing w:after="60" w:before="0"/>
            </w:pPr>
            <w:r>
              <w:rPr>
                <w:rFonts w:ascii="Arial" w:cs="Arial" w:eastAsia="Arial" w:hAnsi="Arial"/>
                <w:b/>
                <w:bCs/>
                <w:color w:val="1B3A5C"/>
                <w:sz w:val="17"/>
                <w:szCs w:val="17"/>
              </w:rPr>
              <w:t xml:space="preserve">[Historical Echo]</w:t>
            </w:r>
          </w:p>
        </w:tc>
        <w:tc>
          <w:tcPr>
            <w:tcW w:type="dxa" w:w="73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most structurally significant convergence in the library. Frankl and Aurelius — separated by nineteen centuries, one writing from a death camp and the other from the Roman throne — arrive at the same essential argument: the interior life is the only domain of genuine freedom, and identity rooted in values rather than position survives the removal of any external structure. Frankl calls it the last human freedom; Aurelius calls it the discipline of the will. What the Historical Echo reveals is that this claim has been tested from both ends of the human power spectrum and found to hold.</w:t>
            </w:r>
          </w:p>
        </w:tc>
      </w:tr>
      <w:tr>
        <w:tc>
          <w:tcPr>
            <w:tcW w:type="dxa" w:w="20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before="0"/>
            </w:pPr>
            <w:r>
              <w:rPr>
                <w:rFonts w:ascii="Arial" w:cs="Arial" w:eastAsia="Arial" w:hAnsi="Arial"/>
                <w:b/>
                <w:bCs/>
                <w:color w:val="1B3A5C"/>
                <w:sz w:val="17"/>
                <w:szCs w:val="17"/>
              </w:rPr>
              <w:t xml:space="preserve">Holiday + Aurelius</w:t>
            </w:r>
          </w:p>
          <w:p>
            <w:pPr>
              <w:spacing w:after="60" w:before="0"/>
            </w:pPr>
            <w:r>
              <w:rPr>
                <w:rFonts w:ascii="Arial" w:cs="Arial" w:eastAsia="Arial" w:hAnsi="Arial"/>
                <w:b/>
                <w:bCs/>
                <w:color w:val="1B3A5C"/>
                <w:sz w:val="17"/>
                <w:szCs w:val="17"/>
              </w:rPr>
              <w:t xml:space="preserve">[Extension]</w:t>
            </w:r>
          </w:p>
        </w:tc>
        <w:tc>
          <w:tcPr>
            <w:tcW w:type="dxa" w:w="73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Holiday wrote Ego Is the Enemy as a direct modern extension of Aurelius. The specific convergence: both argue that ego — the self constructed from recognition, title, and external approval — is not identity but its counterfeit. Aurelius practiced the separation of person from position in private journals. Holiday makes the failure pattern explicit: the self built on external validation collapses when those externals are removed, and transition exposes precisely that collapse. Together they constitute the library's most complete treatment of how false identity forms and what replacing it requires.</w:t>
            </w:r>
          </w:p>
        </w:tc>
      </w:tr>
      <w:tr>
        <w:tc>
          <w:tcPr>
            <w:tcW w:type="dxa" w:w="20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before="0"/>
            </w:pPr>
            <w:r>
              <w:rPr>
                <w:rFonts w:ascii="Arial" w:cs="Arial" w:eastAsia="Arial" w:hAnsi="Arial"/>
                <w:b/>
                <w:bCs/>
                <w:color w:val="1B3A5C"/>
                <w:sz w:val="17"/>
                <w:szCs w:val="17"/>
              </w:rPr>
              <w:t xml:space="preserve">Holiday + Arbinger</w:t>
            </w:r>
          </w:p>
          <w:p>
            <w:pPr>
              <w:spacing w:after="60" w:before="0"/>
            </w:pPr>
            <w:r>
              <w:rPr>
                <w:rFonts w:ascii="Arial" w:cs="Arial" w:eastAsia="Arial" w:hAnsi="Arial"/>
                <w:b/>
                <w:bCs/>
                <w:color w:val="1B3A5C"/>
                <w:sz w:val="17"/>
                <w:szCs w:val="17"/>
              </w:rPr>
              <w:t xml:space="preserve">[Diagnostic Pair]</w:t>
            </w:r>
          </w:p>
        </w:tc>
        <w:tc>
          <w:tcPr>
            <w:tcW w:type="dxa" w:w="73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Holiday's ego and Arbinger's box are different vocabularies for the same underlying failure mode: the leader whose self-image has become so central to their functioning that accurate self-examination is no longer available. Holiday names the phenomenon through Stoic philosophy; Arbinger explains the relational and perceptual distortions it produces in daily interactions. A leader reading both finds that ego and self-deception reinforce each other — the more entrenched the ego, the more elaborate the self-deception required to maintain it — and that addressing one without the other leaves the work incomplete.</w:t>
            </w:r>
          </w:p>
        </w:tc>
      </w:tr>
      <w:tr>
        <w:tc>
          <w:tcPr>
            <w:tcW w:type="dxa" w:w="20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before="0"/>
            </w:pPr>
            <w:r>
              <w:rPr>
                <w:rFonts w:ascii="Arial" w:cs="Arial" w:eastAsia="Arial" w:hAnsi="Arial"/>
                <w:b/>
                <w:bCs/>
                <w:color w:val="1B3A5C"/>
                <w:sz w:val="17"/>
                <w:szCs w:val="17"/>
              </w:rPr>
              <w:t xml:space="preserve">Covey + Greenleaf + Frankl</w:t>
            </w:r>
          </w:p>
          <w:p>
            <w:pPr>
              <w:spacing w:after="60" w:before="0"/>
            </w:pPr>
            <w:r>
              <w:rPr>
                <w:rFonts w:ascii="Arial" w:cs="Arial" w:eastAsia="Arial" w:hAnsi="Arial"/>
                <w:b/>
                <w:bCs/>
                <w:color w:val="1B3A5C"/>
                <w:sz w:val="17"/>
                <w:szCs w:val="17"/>
              </w:rPr>
              <w:t xml:space="preserve">[Convergence]</w:t>
            </w:r>
          </w:p>
        </w:tc>
        <w:tc>
          <w:tcPr>
            <w:tcW w:type="dxa" w:w="73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Three authors from entirely different traditions arrive at the same positive formulation: durable identity is built from the inside out, rooted in chosen values rather than institutional assignment, and oriented toward something beyond the self. Covey systematizes this in the character ethic and the personal mission statement. Frankl grounds it in meaning that transcends circumstance. Greenleaf locates it in service to the growth of others. The convergence across a psychologist, a philosopher, and an organizational researcher — all approaching the question from different angles — gives the claim its weight.</w:t>
            </w:r>
          </w:p>
        </w:tc>
      </w:tr>
    </w:tbl>
    <w:p>
      <w:pPr>
        <w:spacing w:after="0" w:before="200"/>
      </w:pPr>
    </w:p>
    <w:p>
      <w:pPr>
        <w:spacing w:after="120" w:before="320"/>
      </w:pPr>
      <w:r>
        <w:rPr>
          <w:rFonts w:ascii="Arial" w:cs="Arial" w:eastAsia="Arial" w:hAnsi="Arial"/>
          <w:b/>
          <w:bCs/>
          <w:color w:val="1B3A5C"/>
          <w:sz w:val="18"/>
          <w:szCs w:val="18"/>
        </w:rPr>
        <w:t xml:space="preserve">WHERE THE AUTHORS DIVERGE</w:t>
      </w:r>
    </w:p>
    <w:p>
      <w:pPr>
        <w:spacing w:after="160" w:before="0"/>
      </w:pPr>
      <w:r>
        <w:rPr>
          <w:rFonts w:ascii="Arial" w:cs="Arial" w:eastAsia="Arial" w:hAnsi="Arial"/>
          <w:color w:val="4A5568"/>
          <w:sz w:val="20"/>
          <w:szCs w:val="20"/>
        </w:rPr>
        <w:t xml:space="preserve">The library is honest about genuine tensions — places where books approach the same theme from meaningfully different angles, or where an author's framework is stronger in some conditions than others. These tensions are productive rather than disqualifying.</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FF8E1" w:val="clear"/>
            <w:tcMar>
              <w:top w:type="dxa" w:w="100"/>
              <w:left w:type="dxa" w:w="140"/>
              <w:bottom w:type="dxa" w:w="100"/>
              <w:right w:type="dxa" w:w="140"/>
            </w:tcMar>
          </w:tcPr>
          <w:p>
            <w:r>
              <w:rPr>
                <w:rFonts w:ascii="Arial" w:cs="Arial" w:eastAsia="Arial" w:hAnsi="Arial"/>
                <w:b/>
                <w:bCs/>
                <w:color w:val="7B5900"/>
                <w:sz w:val="18"/>
                <w:szCs w:val="18"/>
              </w:rPr>
              <w:t xml:space="preserve">Internal vs. Relational</w:t>
            </w:r>
          </w:p>
        </w:tc>
        <w:tc>
          <w:tcPr>
            <w:tcW w:type="dxa" w:w="67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Frankl, Aurelius, Holiday vs. Arbinger, Greenleaf. The Stoic and existential tradition treats identity as primarily an interior project: the work of examining one's values, refusing ego's distortions, and choosing one's orientation to circumstance. Arbinger and Greenleaf locate identity more relationally — arguing that who we are is partly constituted by how we see and treat others, and that self-deception about our relational impact is as identity-distorting as ego. The tension is productive: identity work that is only interior can become self-absorbed; identity work that is only relational can lose its anchor.</w:t>
            </w:r>
          </w:p>
        </w:tc>
      </w:tr>
      <w:tr>
        <w:tc>
          <w:tcPr>
            <w:tcW w:type="dxa" w:w="2600"/>
            <w:tcBorders>
              <w:top w:val="single" w:color="CBD5E0" w:sz="1"/>
              <w:left w:val="single" w:color="CBD5E0" w:sz="1"/>
              <w:bottom w:val="single" w:color="CBD5E0" w:sz="1"/>
              <w:right w:val="single" w:color="CBD5E0" w:sz="1"/>
            </w:tcBorders>
            <w:shd w:fill="FFF8E1" w:val="clear"/>
            <w:tcMar>
              <w:top w:type="dxa" w:w="100"/>
              <w:left w:type="dxa" w:w="140"/>
              <w:bottom w:type="dxa" w:w="100"/>
              <w:right w:type="dxa" w:w="140"/>
            </w:tcMar>
          </w:tcPr>
          <w:p>
            <w:r>
              <w:rPr>
                <w:rFonts w:ascii="Arial" w:cs="Arial" w:eastAsia="Arial" w:hAnsi="Arial"/>
                <w:b/>
                <w:bCs/>
                <w:color w:val="7B5900"/>
                <w:sz w:val="18"/>
                <w:szCs w:val="18"/>
              </w:rPr>
              <w:t xml:space="preserve">Release vs. Construction</w:t>
            </w:r>
          </w:p>
        </w:tc>
        <w:tc>
          <w:tcPr>
            <w:tcW w:type="dxa" w:w="67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Ego Is the Enemy vs. The 7 Habits, Start With Why. Holiday's primary prescription is diagnostic — release the ego-identity before it collapses you. Covey and Sinek are constructive — build the character ethic and the personal WHY as the replacement. These are sequential more than opposing, but the tension is real: leaders who focus only on what to release can become rudderless; leaders who focus only on construction before doing the releasing work build on unstable ground.</w:t>
            </w:r>
          </w:p>
        </w:tc>
      </w:tr>
    </w:tbl>
    <w:p>
      <w:pPr>
        <w:spacing w:after="0" w:before="200"/>
      </w:pPr>
    </w:p>
    <w:p>
      <w:pPr>
        <w:spacing w:after="120" w:before="320"/>
      </w:pPr>
      <w:r>
        <w:rPr>
          <w:rFonts w:ascii="Arial" w:cs="Arial" w:eastAsia="Arial" w:hAnsi="Arial"/>
          <w:b/>
          <w:bCs/>
          <w:color w:val="1B3A5C"/>
          <w:sz w:val="18"/>
          <w:szCs w:val="18"/>
        </w:rPr>
        <w:t xml:space="preserve">LEADERSHIP APPLICATION</w:t>
      </w:r>
    </w:p>
    <w:p>
      <w:pPr>
        <w:spacing w:after="160" w:before="0"/>
      </w:pPr>
      <w:r>
        <w:rPr>
          <w:rFonts w:ascii="Arial" w:cs="Arial" w:eastAsia="Arial" w:hAnsi="Arial"/>
          <w:color w:val="4A5568"/>
          <w:sz w:val="20"/>
          <w:szCs w:val="20"/>
        </w:rPr>
        <w:t xml:space="preserve">The library's sustained argument on identity is this: the self that military service built is more portable than transition culture suggests, and less portable than the leader usually assumes. The portable part is character — the discipline, the orientation toward service, the capacity to function under pressure without losing moral bearings. The non-portable part is the institutional scaffolding that reinforced that character daily through rank, mission, and belonging. Transition is the work of separating what you built from what the institution provided — and discovering that what you built is enough to build from.</w:t>
      </w:r>
    </w:p>
    <w:p>
      <w:pPr>
        <w:spacing w:after="0" w:before="100"/>
      </w:pPr>
    </w:p>
    <w:p>
      <w:pPr>
        <w:spacing w:after="120" w:before="320"/>
      </w:pPr>
      <w:r>
        <w:rPr>
          <w:rFonts w:ascii="Arial" w:cs="Arial" w:eastAsia="Arial" w:hAnsi="Arial"/>
          <w:b/>
          <w:bCs/>
          <w:color w:val="1B3A5C"/>
          <w:sz w:val="18"/>
          <w:szCs w:val="18"/>
        </w:rPr>
        <w:t xml:space="preserve">TRANSITION APPLICATION</w:t>
      </w:r>
    </w:p>
    <w:p>
      <w:pPr>
        <w:spacing w:after="160" w:before="0"/>
      </w:pPr>
      <w:r>
        <w:rPr>
          <w:rFonts w:ascii="Arial" w:cs="Arial" w:eastAsia="Arial" w:hAnsi="Arial"/>
          <w:color w:val="4A5568"/>
          <w:sz w:val="20"/>
          <w:szCs w:val="20"/>
        </w:rPr>
        <w:t xml:space="preserve">Identity questions arrive first and loudest in transition because everything that answered them for decades has been removed simultaneously. The rank provided position. The mission provided purpose. The unit provided belonging. When all three go at once, the self that remains is the actual self — and most military leaders find that self is considerably more substantial than the quiet that follows the ceremony suggests. The work is not reconstruction. It is recognition.</w:t>
      </w:r>
    </w:p>
    <w:p>
      <w:pPr>
        <w:spacing w:after="0" w:before="100"/>
      </w:pPr>
    </w:p>
    <w:p>
      <w:pPr>
        <w:spacing w:after="120" w:before="320"/>
      </w:pPr>
      <w:r>
        <w:rPr>
          <w:rFonts w:ascii="Arial" w:cs="Arial" w:eastAsia="Arial" w:hAnsi="Arial"/>
          <w:b/>
          <w:bCs/>
          <w:color w:val="1B3A5C"/>
          <w:sz w:val="18"/>
          <w:szCs w:val="18"/>
        </w:rPr>
        <w:t xml:space="preserve">GATEWAY BOOKS</w:t>
      </w:r>
    </w:p>
    <w:p>
      <w:pPr>
        <w:spacing w:after="160" w:before="0"/>
      </w:pPr>
      <w:r>
        <w:rPr>
          <w:rFonts w:ascii="Arial" w:cs="Arial" w:eastAsia="Arial" w:hAnsi="Arial"/>
          <w:color w:val="4A5568"/>
          <w:sz w:val="20"/>
          <w:szCs w:val="20"/>
        </w:rPr>
        <w:t xml:space="preserve">Recommended entry points for readers new to this theme. Selected not by node tier but by accessibility and direct relevance to the primary reader.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40" w:before="0"/>
            </w:pPr>
            <w:r>
              <w:rPr>
                <w:rFonts w:ascii="Arial" w:cs="Arial" w:eastAsia="Arial" w:hAnsi="Arial"/>
                <w:b/>
                <w:bCs/>
                <w:color w:val="1B3A5C"/>
                <w:sz w:val="18"/>
                <w:szCs w:val="18"/>
              </w:rPr>
              <w:t xml:space="preserve">Man's Search for Meaning</w:t>
            </w:r>
          </w:p>
          <w:p>
            <w:pPr>
              <w:spacing w:after="0" w:before="0"/>
            </w:pPr>
            <w:r>
              <w:rPr>
                <w:rFonts w:ascii="Arial" w:cs="Arial" w:eastAsia="Arial" w:hAnsi="Arial"/>
                <w:color w:val="B8960C"/>
                <w:sz w:val="16"/>
                <w:szCs w:val="16"/>
              </w:rPr>
              <w:t xml:space="preserve">Viktor Frankl</w:t>
            </w:r>
          </w:p>
        </w:tc>
        <w:tc>
          <w:tcPr>
            <w:tcW w:type="dxa" w:w="65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philosophical foundation — provides the existential framework for identity rooted in meaning rather than in institutional structure.</w:t>
            </w:r>
          </w:p>
        </w:tc>
      </w:tr>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40" w:before="0"/>
            </w:pPr>
            <w:r>
              <w:rPr>
                <w:rFonts w:ascii="Arial" w:cs="Arial" w:eastAsia="Arial" w:hAnsi="Arial"/>
                <w:b/>
                <w:bCs/>
                <w:color w:val="1B3A5C"/>
                <w:sz w:val="18"/>
                <w:szCs w:val="18"/>
              </w:rPr>
              <w:t xml:space="preserve">Ego Is the Enemy</w:t>
            </w:r>
          </w:p>
          <w:p>
            <w:pPr>
              <w:spacing w:after="0" w:before="0"/>
            </w:pPr>
            <w:r>
              <w:rPr>
                <w:rFonts w:ascii="Arial" w:cs="Arial" w:eastAsia="Arial" w:hAnsi="Arial"/>
                <w:color w:val="B8960C"/>
                <w:sz w:val="16"/>
                <w:szCs w:val="16"/>
              </w:rPr>
              <w:t xml:space="preserve">Ryan Holiday</w:t>
            </w:r>
          </w:p>
        </w:tc>
        <w:tc>
          <w:tcPr>
            <w:tcW w:type="dxa" w:w="65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most immediately applicable entry — names the specific failure pattern with precision and offers the Stoic vocabulary for addressing it.</w:t>
            </w:r>
          </w:p>
        </w:tc>
      </w:tr>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40" w:before="0"/>
            </w:pPr>
            <w:r>
              <w:rPr>
                <w:rFonts w:ascii="Arial" w:cs="Arial" w:eastAsia="Arial" w:hAnsi="Arial"/>
                <w:b/>
                <w:bCs/>
                <w:color w:val="1B3A5C"/>
                <w:sz w:val="18"/>
                <w:szCs w:val="18"/>
              </w:rPr>
              <w:t xml:space="preserve">The Servant as Leader</w:t>
            </w:r>
          </w:p>
          <w:p>
            <w:pPr>
              <w:spacing w:after="0" w:before="0"/>
            </w:pPr>
            <w:r>
              <w:rPr>
                <w:rFonts w:ascii="Arial" w:cs="Arial" w:eastAsia="Arial" w:hAnsi="Arial"/>
                <w:color w:val="B8960C"/>
                <w:sz w:val="16"/>
                <w:szCs w:val="16"/>
              </w:rPr>
              <w:t xml:space="preserve">Robert Greenleaf</w:t>
            </w:r>
          </w:p>
        </w:tc>
        <w:tc>
          <w:tcPr>
            <w:tcW w:type="dxa" w:w="65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positive direction — describes what the leader moves toward when the identity work is done, not merely what is released.</w:t>
            </w:r>
          </w:p>
        </w:tc>
      </w:tr>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40" w:before="0"/>
            </w:pPr>
            <w:r>
              <w:rPr>
                <w:rFonts w:ascii="Arial" w:cs="Arial" w:eastAsia="Arial" w:hAnsi="Arial"/>
                <w:b/>
                <w:bCs/>
                <w:color w:val="1B3A5C"/>
                <w:sz w:val="18"/>
                <w:szCs w:val="18"/>
              </w:rPr>
              <w:t xml:space="preserve">Leadership and Self-Deception</w:t>
            </w:r>
          </w:p>
          <w:p>
            <w:pPr>
              <w:spacing w:after="0" w:before="0"/>
            </w:pPr>
            <w:r>
              <w:rPr>
                <w:rFonts w:ascii="Arial" w:cs="Arial" w:eastAsia="Arial" w:hAnsi="Arial"/>
                <w:color w:val="B8960C"/>
                <w:sz w:val="16"/>
                <w:szCs w:val="16"/>
              </w:rPr>
              <w:t xml:space="preserve">The Arbinger Institute</w:t>
            </w:r>
          </w:p>
        </w:tc>
        <w:tc>
          <w:tcPr>
            <w:tcW w:type="dxa" w:w="65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relational diagnostic — examines how self-deception distorts identity from the inside without the leader's awareness.</w:t>
            </w:r>
          </w:p>
        </w:tc>
      </w:tr>
    </w:tbl>
    <w:p>
      <w:pPr>
        <w:spacing w:after="0" w:before="100"/>
      </w:pPr>
    </w:p>
    <w:p>
      <w:pPr>
        <w:spacing w:after="120" w:before="320"/>
      </w:pPr>
      <w:r>
        <w:rPr>
          <w:rFonts w:ascii="Arial" w:cs="Arial" w:eastAsia="Arial" w:hAnsi="Arial"/>
          <w:b/>
          <w:bCs/>
          <w:color w:val="1B3A5C"/>
          <w:sz w:val="18"/>
          <w:szCs w:val="18"/>
        </w:rPr>
        <w:t xml:space="preserve">THEME EVOLUTION NOTES</w:t>
      </w:r>
    </w:p>
    <w:p>
      <w:pPr>
        <w:spacing w:after="160" w:before="0"/>
      </w:pPr>
      <w:r>
        <w:rPr>
          <w:rFonts w:ascii="Arial" w:cs="Arial" w:eastAsia="Arial" w:hAnsi="Arial"/>
          <w:color w:val="4A5568"/>
          <w:sz w:val="20"/>
          <w:szCs w:val="20"/>
        </w:rPr>
        <w:t xml:space="preserve">Identity currently draws from nine books in the library and is the most connected theme in the collection. As the library grows, texts addressing grief, the physical dimension of identity change (the loss of military physical culture), and faith-centered frameworks will deepen coverage of dimensions the current collection addresses only partially.</w:t>
      </w:r>
    </w:p>
    <w:p>
      <w:r>
        <w:br w:type="page"/>
      </w:r>
    </w:p>
    <w:p>
      <w:pPr>
        <w:spacing w:after="80" w:before="0"/>
      </w:pPr>
      <w:r>
        <w:rPr>
          <w:rFonts w:ascii="Arial" w:cs="Arial" w:eastAsia="Arial" w:hAnsi="Arial"/>
          <w:b/>
          <w:bCs/>
          <w:color w:val="1B3A5C"/>
          <w:sz w:val="52"/>
          <w:szCs w:val="52"/>
        </w:rPr>
        <w:t xml:space="preserve">PURPOSE</w:t>
      </w:r>
    </w:p>
    <w:p>
      <w:pPr>
        <w:spacing w:after="240" w:before="0"/>
      </w:pPr>
      <w:r>
        <w:rPr>
          <w:rFonts w:ascii="Arial" w:cs="Arial" w:eastAsia="Arial" w:hAnsi="Arial"/>
          <w:b/>
          <w:bCs/>
          <w:color w:val="B8960C"/>
          <w:sz w:val="24"/>
          <w:szCs w:val="24"/>
        </w:rPr>
        <w:t xml:space="preserve">What are you for — now, and in the chapter ahead?</w:t>
      </w:r>
    </w:p>
    <w:p>
      <w:pPr>
        <w:pBdr>
          <w:bottom w:val="single" w:color="B8960C" w:sz="4" w:space="1"/>
        </w:pBdr>
        <w:spacing w:after="300" w:before="100"/>
      </w:pPr>
    </w:p>
    <w:p>
      <w:pPr>
        <w:spacing w:after="120" w:before="320"/>
      </w:pPr>
      <w:r>
        <w:rPr>
          <w:rFonts w:ascii="Arial" w:cs="Arial" w:eastAsia="Arial" w:hAnsi="Arial"/>
          <w:b/>
          <w:bCs/>
          <w:color w:val="1B3A5C"/>
          <w:sz w:val="18"/>
          <w:szCs w:val="18"/>
        </w:rPr>
        <w:t xml:space="preserve">THEME DEFINITION</w:t>
      </w:r>
    </w:p>
    <w:p>
      <w:pPr>
        <w:spacing w:after="160" w:before="0"/>
      </w:pPr>
      <w:r>
        <w:rPr>
          <w:rFonts w:ascii="Arial" w:cs="Arial" w:eastAsia="Arial" w:hAnsi="Arial"/>
          <w:color w:val="4A5568"/>
          <w:sz w:val="20"/>
          <w:szCs w:val="20"/>
        </w:rPr>
        <w:t xml:space="preserve">Within this library, purpose is the forward-looking answer to the identity question. If identity asks who you are, purpose asks what that person is for. The library approaches purpose through four distinct lenses: existential (Frankl — meaning that cannot be directly pursued, only discovered), organizational (Sinek — the Golden Circle as a framework for building purpose-driven institutions), philosophical (Aurelius and Confucius — purpose as obligation and duty to others), and practical (Covey and McKeown — purpose as the anchor for daily decisions). The convergent insight across all four: purpose that is rooted in service to others is more durable under adversity than purpose centered on personal achievement.</w:t>
      </w:r>
    </w:p>
    <w:p>
      <w:pPr>
        <w:spacing w:after="0" w:before="100"/>
      </w:pPr>
    </w:p>
    <w:p>
      <w:pPr>
        <w:spacing w:after="120" w:before="320"/>
      </w:pPr>
      <w:r>
        <w:rPr>
          <w:rFonts w:ascii="Arial" w:cs="Arial" w:eastAsia="Arial" w:hAnsi="Arial"/>
          <w:b/>
          <w:bCs/>
          <w:color w:val="1B3A5C"/>
          <w:sz w:val="18"/>
          <w:szCs w:val="18"/>
        </w:rPr>
        <w:t xml:space="preserve">THEME AT A GLANCE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Primary Books</w:t>
            </w:r>
          </w:p>
        </w:tc>
        <w:tc>
          <w:tcPr>
            <w:tcW w:type="dxa" w:w="71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4A5568"/>
                <w:sz w:val="18"/>
                <w:szCs w:val="18"/>
              </w:rPr>
              <w:t xml:space="preserve">Man's Search for Meaning · Frankl  ·  Start With Why · Sinek  ·  The Servant as Leader · Greenleaf  ·  The Infinite Game · Sinek  ·  The 7 Habits · Covey  ·  Leaders Eat Last · Sinek</w:t>
            </w:r>
          </w:p>
        </w:tc>
      </w:tr>
    </w:tbl>
    <w:p>
      <w:pPr>
        <w:spacing w:after="0" w:before="200"/>
      </w:pPr>
    </w:p>
    <w:p>
      <w:pPr>
        <w:spacing w:after="120" w:before="320"/>
      </w:pPr>
      <w:r>
        <w:rPr>
          <w:rFonts w:ascii="Arial" w:cs="Arial" w:eastAsia="Arial" w:hAnsi="Arial"/>
          <w:b/>
          <w:bCs/>
          <w:color w:val="1B3A5C"/>
          <w:sz w:val="18"/>
          <w:szCs w:val="18"/>
        </w:rPr>
        <w:t xml:space="preserve">WHERE THE AUTHORS CONVERGE</w:t>
      </w:r>
    </w:p>
    <w:p>
      <w:pPr>
        <w:spacing w:after="160" w:before="0"/>
      </w:pPr>
      <w:r>
        <w:rPr>
          <w:rFonts w:ascii="Arial" w:cs="Arial" w:eastAsia="Arial" w:hAnsi="Arial"/>
          <w:color w:val="4A5568"/>
          <w:sz w:val="20"/>
          <w:szCs w:val="20"/>
        </w:rPr>
        <w:t xml:space="preserve">The following convergences represent the specific points where books from different traditions, eras, or genres arrive at the same essential insight independently — the library's strongest evidence for what is genuinely true about this theme.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before="0"/>
            </w:pPr>
            <w:r>
              <w:rPr>
                <w:rFonts w:ascii="Arial" w:cs="Arial" w:eastAsia="Arial" w:hAnsi="Arial"/>
                <w:b/>
                <w:bCs/>
                <w:color w:val="1B3A5C"/>
                <w:sz w:val="17"/>
                <w:szCs w:val="17"/>
              </w:rPr>
              <w:t xml:space="preserve">Frankl + Sinek (Start With Why)</w:t>
            </w:r>
          </w:p>
          <w:p>
            <w:pPr>
              <w:spacing w:after="60" w:before="0"/>
            </w:pPr>
            <w:r>
              <w:rPr>
                <w:rFonts w:ascii="Arial" w:cs="Arial" w:eastAsia="Arial" w:hAnsi="Arial"/>
                <w:b/>
                <w:bCs/>
                <w:color w:val="1B3A5C"/>
                <w:sz w:val="17"/>
                <w:szCs w:val="17"/>
              </w:rPr>
              <w:t xml:space="preserve">[Foundation]</w:t>
            </w:r>
          </w:p>
        </w:tc>
        <w:tc>
          <w:tcPr>
            <w:tcW w:type="dxa" w:w="73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Frankl's will to meaning is the existential bedrock beneath Sinek's Golden Circle. Both argue that the deepest human motivation is not pleasure or achievement but the experience of contributing to something larger than the self. Frankl grounds this in survival data from extreme adversity; Sinek grounds it in organizational research on what produces sustained engagement and inspired performance. The Foundation relationship is this: Sinek's WHY framework, without Frankl's existential depth, risks producing purpose statements that are organizational rather than personal. Leaders who read Frankl first understand why the WHY must be rooted in genuine meaning rather than in institutional validation.</w:t>
            </w:r>
          </w:p>
        </w:tc>
      </w:tr>
      <w:tr>
        <w:tc>
          <w:tcPr>
            <w:tcW w:type="dxa" w:w="20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before="0"/>
            </w:pPr>
            <w:r>
              <w:rPr>
                <w:rFonts w:ascii="Arial" w:cs="Arial" w:eastAsia="Arial" w:hAnsi="Arial"/>
                <w:b/>
                <w:bCs/>
                <w:color w:val="1B3A5C"/>
                <w:sz w:val="17"/>
                <w:szCs w:val="17"/>
              </w:rPr>
              <w:t xml:space="preserve">Sinek (Infinite Game) + Frankl</w:t>
            </w:r>
          </w:p>
          <w:p>
            <w:pPr>
              <w:spacing w:after="60" w:before="0"/>
            </w:pPr>
            <w:r>
              <w:rPr>
                <w:rFonts w:ascii="Arial" w:cs="Arial" w:eastAsia="Arial" w:hAnsi="Arial"/>
                <w:b/>
                <w:bCs/>
                <w:color w:val="1B3A5C"/>
                <w:sz w:val="17"/>
                <w:szCs w:val="17"/>
              </w:rPr>
              <w:t xml:space="preserve">[Convergence]</w:t>
            </w:r>
          </w:p>
        </w:tc>
        <w:tc>
          <w:tcPr>
            <w:tcW w:type="dxa" w:w="73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most precise purpose convergence in the library. Sinek's just cause and Frankl's will to meaning arrive at the same structural observation: meaning and purpose are most resilient when they are oriented toward a future the individual will not fully see. Frankl observed that prisoners who survived at higher rates were those whose sense of purpose extended beyond their own survival. Sinek argues that the most enduring leaders are those who understand their contribution as one movement in a game that will continue after them. Both claim that finite purpose — purpose bounded by personal achievement or career completion — is structurally less durable than purpose that transcends the self.</w:t>
            </w:r>
          </w:p>
        </w:tc>
      </w:tr>
      <w:tr>
        <w:tc>
          <w:tcPr>
            <w:tcW w:type="dxa" w:w="20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before="0"/>
            </w:pPr>
            <w:r>
              <w:rPr>
                <w:rFonts w:ascii="Arial" w:cs="Arial" w:eastAsia="Arial" w:hAnsi="Arial"/>
                <w:b/>
                <w:bCs/>
                <w:color w:val="1B3A5C"/>
                <w:sz w:val="17"/>
                <w:szCs w:val="17"/>
              </w:rPr>
              <w:t xml:space="preserve">Greenleaf + Aurelius + Confucius (Analects)</w:t>
            </w:r>
          </w:p>
          <w:p>
            <w:pPr>
              <w:spacing w:after="60" w:before="0"/>
            </w:pPr>
            <w:r>
              <w:rPr>
                <w:rFonts w:ascii="Arial" w:cs="Arial" w:eastAsia="Arial" w:hAnsi="Arial"/>
                <w:b/>
                <w:bCs/>
                <w:color w:val="1B3A5C"/>
                <w:sz w:val="17"/>
                <w:szCs w:val="17"/>
              </w:rPr>
              <w:t xml:space="preserve">[Tradition Bridge]</w:t>
            </w:r>
          </w:p>
        </w:tc>
        <w:tc>
          <w:tcPr>
            <w:tcW w:type="dxa" w:w="73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Greenleaf's twentieth-century organizational philosophy, Aurelius's second-century Stoic practice, and Confucius's fifth-century-BC virtue ethics all arrive at the same formulation of purpose: it is most authentically expressed as obligation to others. Aurelius insisted that his purpose was defined by his obligations as emperor, father, and citizen — not by his own aspirations. Confucius defined the superior person through the quality of their relationships and what they gave to them. Greenleaf built his entire framework on the claim that the leader's purpose is the growth of those they serve. The tradition bridge spans 2,500 years and three distinct intellectual traditions. The convergence is not incidental — it is a discovered truth about what purpose, at its most durable, is actually made of.</w:t>
            </w:r>
          </w:p>
        </w:tc>
      </w:tr>
      <w:tr>
        <w:tc>
          <w:tcPr>
            <w:tcW w:type="dxa" w:w="20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before="0"/>
            </w:pPr>
            <w:r>
              <w:rPr>
                <w:rFonts w:ascii="Arial" w:cs="Arial" w:eastAsia="Arial" w:hAnsi="Arial"/>
                <w:b/>
                <w:bCs/>
                <w:color w:val="1B3A5C"/>
                <w:sz w:val="17"/>
                <w:szCs w:val="17"/>
              </w:rPr>
              <w:t xml:space="preserve">Covey + McKeown (Essentialism) + Sinek (Start With Why)</w:t>
            </w:r>
          </w:p>
          <w:p>
            <w:pPr>
              <w:spacing w:after="60" w:before="0"/>
            </w:pPr>
            <w:r>
              <w:rPr>
                <w:rFonts w:ascii="Arial" w:cs="Arial" w:eastAsia="Arial" w:hAnsi="Arial"/>
                <w:b/>
                <w:bCs/>
                <w:color w:val="1B3A5C"/>
                <w:sz w:val="17"/>
                <w:szCs w:val="17"/>
              </w:rPr>
              <w:t xml:space="preserve">[Application Cluster]</w:t>
            </w:r>
          </w:p>
        </w:tc>
        <w:tc>
          <w:tcPr>
            <w:tcW w:type="dxa" w:w="73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three most practical purpose frameworks in the library point toward the same daily discipline: before deciding what to do, anchor the decision in what you are for. Covey's Begin with the End in Mind and personal mission statement make purpose the organizing principle of time and choice. Sinek's WHY statement provides the communicative expression of that principle. McKeown's essentialism provides the daily decision architecture for protecting essential work against the urgent. Together, they form the library's most actionable purpose architecture — from the existential foundation to the morning calendar.</w:t>
            </w:r>
          </w:p>
        </w:tc>
      </w:tr>
    </w:tbl>
    <w:p>
      <w:pPr>
        <w:spacing w:after="0" w:before="200"/>
      </w:pPr>
    </w:p>
    <w:p>
      <w:pPr>
        <w:spacing w:after="120" w:before="320"/>
      </w:pPr>
      <w:r>
        <w:rPr>
          <w:rFonts w:ascii="Arial" w:cs="Arial" w:eastAsia="Arial" w:hAnsi="Arial"/>
          <w:b/>
          <w:bCs/>
          <w:color w:val="1B3A5C"/>
          <w:sz w:val="18"/>
          <w:szCs w:val="18"/>
        </w:rPr>
        <w:t xml:space="preserve">WHERE THE AUTHORS DIVERGE</w:t>
      </w:r>
    </w:p>
    <w:p>
      <w:pPr>
        <w:spacing w:after="160" w:before="0"/>
      </w:pPr>
      <w:r>
        <w:rPr>
          <w:rFonts w:ascii="Arial" w:cs="Arial" w:eastAsia="Arial" w:hAnsi="Arial"/>
          <w:color w:val="4A5568"/>
          <w:sz w:val="20"/>
          <w:szCs w:val="20"/>
        </w:rPr>
        <w:t xml:space="preserve">The library is honest about genuine tensions — places where books approach the same theme from meaningfully different angles, or where an author's framework is stronger in some conditions than others. These tensions are productive rather than disqualifying.</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FF8E1" w:val="clear"/>
            <w:tcMar>
              <w:top w:type="dxa" w:w="100"/>
              <w:left w:type="dxa" w:w="140"/>
              <w:bottom w:type="dxa" w:w="100"/>
              <w:right w:type="dxa" w:w="140"/>
            </w:tcMar>
          </w:tcPr>
          <w:p>
            <w:r>
              <w:rPr>
                <w:rFonts w:ascii="Arial" w:cs="Arial" w:eastAsia="Arial" w:hAnsi="Arial"/>
                <w:b/>
                <w:bCs/>
                <w:color w:val="7B5900"/>
                <w:sz w:val="18"/>
                <w:szCs w:val="18"/>
              </w:rPr>
              <w:t xml:space="preserve">Discovery vs. Construction</w:t>
            </w:r>
          </w:p>
        </w:tc>
        <w:tc>
          <w:tcPr>
            <w:tcW w:type="dxa" w:w="67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Frankl — purpose is discovered, not manufactured vs. Sinek — purpose can be articulated and built around. Frankl is explicit: meaning cannot be directly pursued. It emerges as the by-product of living in response to what the situation demands. Sinek's framework, while not contradicting this, operates more constructively — the WHY can be investigated, articulated, and used as the basis for organizational design. The tension is not irreconcilable but it is real: leaders who use Sinek's framework without Frankl's prior work may construct purpose statements that are institutional rather than existential — compelling in the interview, hollow in the difficulty.</w:t>
            </w:r>
          </w:p>
        </w:tc>
      </w:tr>
      <w:tr>
        <w:tc>
          <w:tcPr>
            <w:tcW w:type="dxa" w:w="2600"/>
            <w:tcBorders>
              <w:top w:val="single" w:color="CBD5E0" w:sz="1"/>
              <w:left w:val="single" w:color="CBD5E0" w:sz="1"/>
              <w:bottom w:val="single" w:color="CBD5E0" w:sz="1"/>
              <w:right w:val="single" w:color="CBD5E0" w:sz="1"/>
            </w:tcBorders>
            <w:shd w:fill="FFF8E1" w:val="clear"/>
            <w:tcMar>
              <w:top w:type="dxa" w:w="100"/>
              <w:left w:type="dxa" w:w="140"/>
              <w:bottom w:type="dxa" w:w="100"/>
              <w:right w:type="dxa" w:w="140"/>
            </w:tcMar>
          </w:tcPr>
          <w:p>
            <w:r>
              <w:rPr>
                <w:rFonts w:ascii="Arial" w:cs="Arial" w:eastAsia="Arial" w:hAnsi="Arial"/>
                <w:b/>
                <w:bCs/>
                <w:color w:val="7B5900"/>
                <w:sz w:val="18"/>
                <w:szCs w:val="18"/>
              </w:rPr>
              <w:t xml:space="preserve">Individual vs. Institutional</w:t>
            </w:r>
          </w:p>
        </w:tc>
        <w:tc>
          <w:tcPr>
            <w:tcW w:type="dxa" w:w="67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Frankl, Aurelius, Covey — purpose is personal vs. Sinek's trilogy — purpose is organizational. The philosophical tradition in the library (Frankl, Aurelius, Covey) treats purpose as fundamentally personal — the answer to who I am and what I am for. Sinek's trilogy operates at the organizational and institutional level — what is this organization for, and how does it build teams and legacies around that answer. The transition reader needs both: personal purpose that does not depend on institutional belonging, and the organizational tools to build new structures around that personal foundation.</w:t>
            </w:r>
          </w:p>
        </w:tc>
      </w:tr>
    </w:tbl>
    <w:p>
      <w:pPr>
        <w:spacing w:after="0" w:before="200"/>
      </w:pPr>
    </w:p>
    <w:p>
      <w:pPr>
        <w:spacing w:after="120" w:before="320"/>
      </w:pPr>
      <w:r>
        <w:rPr>
          <w:rFonts w:ascii="Arial" w:cs="Arial" w:eastAsia="Arial" w:hAnsi="Arial"/>
          <w:b/>
          <w:bCs/>
          <w:color w:val="1B3A5C"/>
          <w:sz w:val="18"/>
          <w:szCs w:val="18"/>
        </w:rPr>
        <w:t xml:space="preserve">LEADERSHIP APPLICATION</w:t>
      </w:r>
    </w:p>
    <w:p>
      <w:pPr>
        <w:spacing w:after="160" w:before="0"/>
      </w:pPr>
      <w:r>
        <w:rPr>
          <w:rFonts w:ascii="Arial" w:cs="Arial" w:eastAsia="Arial" w:hAnsi="Arial"/>
          <w:color w:val="4A5568"/>
          <w:sz w:val="20"/>
          <w:szCs w:val="20"/>
        </w:rPr>
        <w:t xml:space="preserve">The library's most important purpose observation for the transition reader is this: military service provided purpose so completely and so structurally that most leaders never had to examine what their personal purpose actually was, distinct from the institutional mission. Transition is the first sustained encounter with that question. The books in this theme do not provide the answer — but they provide the frameworks for finding it honestly, and they agree on one point across traditions: purpose that serves others is more stable than purpose that serves only the self.</w:t>
      </w:r>
    </w:p>
    <w:p>
      <w:pPr>
        <w:spacing w:after="0" w:before="100"/>
      </w:pPr>
    </w:p>
    <w:p>
      <w:pPr>
        <w:spacing w:after="120" w:before="320"/>
      </w:pPr>
      <w:r>
        <w:rPr>
          <w:rFonts w:ascii="Arial" w:cs="Arial" w:eastAsia="Arial" w:hAnsi="Arial"/>
          <w:b/>
          <w:bCs/>
          <w:color w:val="1B3A5C"/>
          <w:sz w:val="18"/>
          <w:szCs w:val="18"/>
        </w:rPr>
        <w:t xml:space="preserve">TRANSITION APPLICATION</w:t>
      </w:r>
    </w:p>
    <w:p>
      <w:pPr>
        <w:spacing w:after="160" w:before="0"/>
      </w:pPr>
      <w:r>
        <w:rPr>
          <w:rFonts w:ascii="Arial" w:cs="Arial" w:eastAsia="Arial" w:hAnsi="Arial"/>
          <w:color w:val="4A5568"/>
          <w:sz w:val="20"/>
          <w:szCs w:val="20"/>
        </w:rPr>
        <w:t xml:space="preserve">The military institution was a purpose machine. It provided mission, meaning, and motivation without requiring the leader to author them. When it is gone, the question of personal purpose — genuine, chosen, not inherited — arrives with an urgency that can be uncomfortable. The most common mistake in early transition is filling that urgency quickly with the first available external structure rather than allowing enough time to discover what the purpose actually is. Frankl's framework is the most useful here: the question is not what you want from life, but what life is now asking of you.</w:t>
      </w:r>
    </w:p>
    <w:p>
      <w:pPr>
        <w:spacing w:after="0" w:before="100"/>
      </w:pPr>
    </w:p>
    <w:p>
      <w:pPr>
        <w:spacing w:after="120" w:before="320"/>
      </w:pPr>
      <w:r>
        <w:rPr>
          <w:rFonts w:ascii="Arial" w:cs="Arial" w:eastAsia="Arial" w:hAnsi="Arial"/>
          <w:b/>
          <w:bCs/>
          <w:color w:val="1B3A5C"/>
          <w:sz w:val="18"/>
          <w:szCs w:val="18"/>
        </w:rPr>
        <w:t xml:space="preserve">GATEWAY BOOKS</w:t>
      </w:r>
    </w:p>
    <w:p>
      <w:pPr>
        <w:spacing w:after="160" w:before="0"/>
      </w:pPr>
      <w:r>
        <w:rPr>
          <w:rFonts w:ascii="Arial" w:cs="Arial" w:eastAsia="Arial" w:hAnsi="Arial"/>
          <w:color w:val="4A5568"/>
          <w:sz w:val="20"/>
          <w:szCs w:val="20"/>
        </w:rPr>
        <w:t xml:space="preserve">Recommended entry points for readers new to this theme. Selected not by node tier but by accessibility and direct relevance to the primary reader.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40" w:before="0"/>
            </w:pPr>
            <w:r>
              <w:rPr>
                <w:rFonts w:ascii="Arial" w:cs="Arial" w:eastAsia="Arial" w:hAnsi="Arial"/>
                <w:b/>
                <w:bCs/>
                <w:color w:val="1B3A5C"/>
                <w:sz w:val="18"/>
                <w:szCs w:val="18"/>
              </w:rPr>
              <w:t xml:space="preserve">Man's Search for Meaning</w:t>
            </w:r>
          </w:p>
          <w:p>
            <w:pPr>
              <w:spacing w:after="0" w:before="0"/>
            </w:pPr>
            <w:r>
              <w:rPr>
                <w:rFonts w:ascii="Arial" w:cs="Arial" w:eastAsia="Arial" w:hAnsi="Arial"/>
                <w:color w:val="B8960C"/>
                <w:sz w:val="16"/>
                <w:szCs w:val="16"/>
              </w:rPr>
              <w:t xml:space="preserve">Viktor Frankl</w:t>
            </w:r>
          </w:p>
        </w:tc>
        <w:tc>
          <w:tcPr>
            <w:tcW w:type="dxa" w:w="65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existential foundation — the book that addresses the question of purpose at the depth transition actually requires.</w:t>
            </w:r>
          </w:p>
        </w:tc>
      </w:tr>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40" w:before="0"/>
            </w:pPr>
            <w:r>
              <w:rPr>
                <w:rFonts w:ascii="Arial" w:cs="Arial" w:eastAsia="Arial" w:hAnsi="Arial"/>
                <w:b/>
                <w:bCs/>
                <w:color w:val="1B3A5C"/>
                <w:sz w:val="18"/>
                <w:szCs w:val="18"/>
              </w:rPr>
              <w:t xml:space="preserve">Start With Why</w:t>
            </w:r>
          </w:p>
          <w:p>
            <w:pPr>
              <w:spacing w:after="0" w:before="0"/>
            </w:pPr>
            <w:r>
              <w:rPr>
                <w:rFonts w:ascii="Arial" w:cs="Arial" w:eastAsia="Arial" w:hAnsi="Arial"/>
                <w:color w:val="B8960C"/>
                <w:sz w:val="16"/>
                <w:szCs w:val="16"/>
              </w:rPr>
              <w:t xml:space="preserve">Simon Sinek</w:t>
            </w:r>
          </w:p>
        </w:tc>
        <w:tc>
          <w:tcPr>
            <w:tcW w:type="dxa" w:w="65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most accessible entry point — translates purpose into a personal and organizational framework the reader can immediately apply.</w:t>
            </w:r>
          </w:p>
        </w:tc>
      </w:tr>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40" w:before="0"/>
            </w:pPr>
            <w:r>
              <w:rPr>
                <w:rFonts w:ascii="Arial" w:cs="Arial" w:eastAsia="Arial" w:hAnsi="Arial"/>
                <w:b/>
                <w:bCs/>
                <w:color w:val="1B3A5C"/>
                <w:sz w:val="18"/>
                <w:szCs w:val="18"/>
              </w:rPr>
              <w:t xml:space="preserve">The Servant as Leader</w:t>
            </w:r>
          </w:p>
          <w:p>
            <w:pPr>
              <w:spacing w:after="0" w:before="0"/>
            </w:pPr>
            <w:r>
              <w:rPr>
                <w:rFonts w:ascii="Arial" w:cs="Arial" w:eastAsia="Arial" w:hAnsi="Arial"/>
                <w:color w:val="B8960C"/>
                <w:sz w:val="16"/>
                <w:szCs w:val="16"/>
              </w:rPr>
              <w:t xml:space="preserve">Robert Greenleaf</w:t>
            </w:r>
          </w:p>
        </w:tc>
        <w:tc>
          <w:tcPr>
            <w:tcW w:type="dxa" w:w="65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most direct formulation of purpose as service — describes what it looks like when purpose is fully expressed as contribution to others.</w:t>
            </w:r>
          </w:p>
        </w:tc>
      </w:tr>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40" w:before="0"/>
            </w:pPr>
            <w:r>
              <w:rPr>
                <w:rFonts w:ascii="Arial" w:cs="Arial" w:eastAsia="Arial" w:hAnsi="Arial"/>
                <w:b/>
                <w:bCs/>
                <w:color w:val="1B3A5C"/>
                <w:sz w:val="18"/>
                <w:szCs w:val="18"/>
              </w:rPr>
              <w:t xml:space="preserve">The Infinite Game</w:t>
            </w:r>
          </w:p>
          <w:p>
            <w:pPr>
              <w:spacing w:after="0" w:before="0"/>
            </w:pPr>
            <w:r>
              <w:rPr>
                <w:rFonts w:ascii="Arial" w:cs="Arial" w:eastAsia="Arial" w:hAnsi="Arial"/>
                <w:color w:val="B8960C"/>
                <w:sz w:val="16"/>
                <w:szCs w:val="16"/>
              </w:rPr>
              <w:t xml:space="preserve">Simon Sinek</w:t>
            </w:r>
          </w:p>
        </w:tc>
        <w:tc>
          <w:tcPr>
            <w:tcW w:type="dxa" w:w="65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long-horizon extension — answers the question of what a purpose-driven leader builds that outlasts their own career.</w:t>
            </w:r>
          </w:p>
        </w:tc>
      </w:tr>
    </w:tbl>
    <w:p>
      <w:pPr>
        <w:spacing w:after="0" w:before="100"/>
      </w:pPr>
    </w:p>
    <w:p>
      <w:pPr>
        <w:spacing w:after="120" w:before="320"/>
      </w:pPr>
      <w:r>
        <w:rPr>
          <w:rFonts w:ascii="Arial" w:cs="Arial" w:eastAsia="Arial" w:hAnsi="Arial"/>
          <w:b/>
          <w:bCs/>
          <w:color w:val="1B3A5C"/>
          <w:sz w:val="18"/>
          <w:szCs w:val="18"/>
        </w:rPr>
        <w:t xml:space="preserve">THEME EVOLUTION NOTES</w:t>
      </w:r>
    </w:p>
    <w:p>
      <w:pPr>
        <w:spacing w:after="160" w:before="0"/>
      </w:pPr>
      <w:r>
        <w:rPr>
          <w:rFonts w:ascii="Arial" w:cs="Arial" w:eastAsia="Arial" w:hAnsi="Arial"/>
          <w:color w:val="4A5568"/>
          <w:sz w:val="20"/>
          <w:szCs w:val="20"/>
        </w:rPr>
        <w:t xml:space="preserve">Purpose is the library's most densely connected theme — 14 books engage with it substantially. The Sinek trilogy provides its most sustained organizational treatment. The philosophical tradition (Frankl, Aurelius, Confucius) provides its deepest existential grounding. As the library grows, faith-centered and community-oriented approaches to purpose represent identified gaps.</w:t>
      </w:r>
    </w:p>
    <w:p>
      <w:r>
        <w:br w:type="page"/>
      </w:r>
    </w:p>
    <w:p>
      <w:pPr>
        <w:spacing w:after="80" w:before="0"/>
      </w:pPr>
      <w:r>
        <w:rPr>
          <w:rFonts w:ascii="Arial" w:cs="Arial" w:eastAsia="Arial" w:hAnsi="Arial"/>
          <w:b/>
          <w:bCs/>
          <w:color w:val="1B3A5C"/>
          <w:sz w:val="52"/>
          <w:szCs w:val="52"/>
        </w:rPr>
        <w:t xml:space="preserve">MEANING</w:t>
      </w:r>
    </w:p>
    <w:p>
      <w:pPr>
        <w:spacing w:after="240" w:before="0"/>
      </w:pPr>
      <w:r>
        <w:rPr>
          <w:rFonts w:ascii="Arial" w:cs="Arial" w:eastAsia="Arial" w:hAnsi="Arial"/>
          <w:b/>
          <w:bCs/>
          <w:color w:val="B8960C"/>
          <w:sz w:val="24"/>
          <w:szCs w:val="24"/>
        </w:rPr>
        <w:t xml:space="preserve">Why is the sacrifice, difficulty, and uncertainty worth enduring?</w:t>
      </w:r>
    </w:p>
    <w:p>
      <w:pPr>
        <w:pBdr>
          <w:bottom w:val="single" w:color="B8960C" w:sz="4" w:space="1"/>
        </w:pBdr>
        <w:spacing w:after="300" w:before="100"/>
      </w:pPr>
    </w:p>
    <w:p>
      <w:pPr>
        <w:spacing w:after="120" w:before="320"/>
      </w:pPr>
      <w:r>
        <w:rPr>
          <w:rFonts w:ascii="Arial" w:cs="Arial" w:eastAsia="Arial" w:hAnsi="Arial"/>
          <w:b/>
          <w:bCs/>
          <w:color w:val="1B3A5C"/>
          <w:sz w:val="18"/>
          <w:szCs w:val="18"/>
        </w:rPr>
        <w:t xml:space="preserve">THEME DEFINITION</w:t>
      </w:r>
    </w:p>
    <w:p>
      <w:pPr>
        <w:spacing w:after="160" w:before="0"/>
      </w:pPr>
      <w:r>
        <w:rPr>
          <w:rFonts w:ascii="Arial" w:cs="Arial" w:eastAsia="Arial" w:hAnsi="Arial"/>
          <w:color w:val="4A5568"/>
          <w:sz w:val="20"/>
          <w:szCs w:val="20"/>
        </w:rPr>
        <w:t xml:space="preserve">Within this library, meaning is not the same as purpose. Purpose is directional — what the leader is for. Meaning is the answer to a deeper question: why is this worth the cost? It is the framework that sustains the leader through difficulty, loss, and the disorientation of transition. The library approaches meaning through the existential (Frankl), the Stoic (Aurelius and Holiday), the organizational (Sinek, Collins), and the ancient philosophical (Confucius). Across all of them, the convergent insight is the same: meaning is most durable when it is rooted in something beyond personal achievement, and most fragile when it is entirely dependent on external recognition or outcome.</w:t>
      </w:r>
    </w:p>
    <w:p>
      <w:pPr>
        <w:spacing w:after="0" w:before="100"/>
      </w:pPr>
    </w:p>
    <w:p>
      <w:pPr>
        <w:spacing w:after="120" w:before="320"/>
      </w:pPr>
      <w:r>
        <w:rPr>
          <w:rFonts w:ascii="Arial" w:cs="Arial" w:eastAsia="Arial" w:hAnsi="Arial"/>
          <w:b/>
          <w:bCs/>
          <w:color w:val="1B3A5C"/>
          <w:sz w:val="18"/>
          <w:szCs w:val="18"/>
        </w:rPr>
        <w:t xml:space="preserve">THEME AT A GLANCE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Primary Books</w:t>
            </w:r>
          </w:p>
        </w:tc>
        <w:tc>
          <w:tcPr>
            <w:tcW w:type="dxa" w:w="71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4A5568"/>
                <w:sz w:val="18"/>
                <w:szCs w:val="18"/>
              </w:rPr>
              <w:t xml:space="preserve">Man's Search for Meaning · Frankl  ·  Meditations · Aurelius  ·  The Obstacle Is the Way · Holiday  ·  The Infinite Game · Sinek  ·  Good to Great · Collins  ·  Start With Why · Sinek</w:t>
            </w:r>
          </w:p>
        </w:tc>
      </w:tr>
    </w:tbl>
    <w:p>
      <w:pPr>
        <w:spacing w:after="0" w:before="200"/>
      </w:pPr>
    </w:p>
    <w:p>
      <w:pPr>
        <w:spacing w:after="120" w:before="320"/>
      </w:pPr>
      <w:r>
        <w:rPr>
          <w:rFonts w:ascii="Arial" w:cs="Arial" w:eastAsia="Arial" w:hAnsi="Arial"/>
          <w:b/>
          <w:bCs/>
          <w:color w:val="1B3A5C"/>
          <w:sz w:val="18"/>
          <w:szCs w:val="18"/>
        </w:rPr>
        <w:t xml:space="preserve">WHERE THE AUTHORS CONVERGE</w:t>
      </w:r>
    </w:p>
    <w:p>
      <w:pPr>
        <w:spacing w:after="160" w:before="0"/>
      </w:pPr>
      <w:r>
        <w:rPr>
          <w:rFonts w:ascii="Arial" w:cs="Arial" w:eastAsia="Arial" w:hAnsi="Arial"/>
          <w:color w:val="4A5568"/>
          <w:sz w:val="20"/>
          <w:szCs w:val="20"/>
        </w:rPr>
        <w:t xml:space="preserve">The following convergences represent the specific points where books from different traditions, eras, or genres arrive at the same essential insight independently — the library's strongest evidence for what is genuinely true about this theme.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before="0"/>
            </w:pPr>
            <w:r>
              <w:rPr>
                <w:rFonts w:ascii="Arial" w:cs="Arial" w:eastAsia="Arial" w:hAnsi="Arial"/>
                <w:b/>
                <w:bCs/>
                <w:color w:val="1B3A5C"/>
                <w:sz w:val="17"/>
                <w:szCs w:val="17"/>
              </w:rPr>
              <w:t xml:space="preserve">Frankl + Aurelius + Holiday</w:t>
            </w:r>
          </w:p>
          <w:p>
            <w:pPr>
              <w:spacing w:after="60" w:before="0"/>
            </w:pPr>
            <w:r>
              <w:rPr>
                <w:rFonts w:ascii="Arial" w:cs="Arial" w:eastAsia="Arial" w:hAnsi="Arial"/>
                <w:b/>
                <w:bCs/>
                <w:color w:val="1B3A5C"/>
                <w:sz w:val="17"/>
                <w:szCs w:val="17"/>
              </w:rPr>
              <w:t xml:space="preserve">[Stoic-Existential Cluster]</w:t>
            </w:r>
          </w:p>
        </w:tc>
        <w:tc>
          <w:tcPr>
            <w:tcW w:type="dxa" w:w="73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library's most coherent intellectual cluster. All three arrive at the same essential claim about meaning and adversity: suffering that is endured within a meaning framework builds something; suffering without a meaning framework destroys it. Frankl observed this from inside a concentration camp. Aurelius practiced it as a daily philosophical discipline under the weight of imperial responsibility. Holiday synthesized both into the three disciplines of perception, action, and will. The synthesis observation: the question is not whether adversity is meaningful — it sometimes is not — but whether the leader has a framework within which adversity can be engaged without surrendering character or orientation. That framework is what all three books are building.</w:t>
            </w:r>
          </w:p>
        </w:tc>
      </w:tr>
      <w:tr>
        <w:tc>
          <w:tcPr>
            <w:tcW w:type="dxa" w:w="20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before="0"/>
            </w:pPr>
            <w:r>
              <w:rPr>
                <w:rFonts w:ascii="Arial" w:cs="Arial" w:eastAsia="Arial" w:hAnsi="Arial"/>
                <w:b/>
                <w:bCs/>
                <w:color w:val="1B3A5C"/>
                <w:sz w:val="17"/>
                <w:szCs w:val="17"/>
              </w:rPr>
              <w:t xml:space="preserve">Frankl + Sinek (Infinite Game)</w:t>
            </w:r>
          </w:p>
          <w:p>
            <w:pPr>
              <w:spacing w:after="60" w:before="0"/>
            </w:pPr>
            <w:r>
              <w:rPr>
                <w:rFonts w:ascii="Arial" w:cs="Arial" w:eastAsia="Arial" w:hAnsi="Arial"/>
                <w:b/>
                <w:bCs/>
                <w:color w:val="1B3A5C"/>
                <w:sz w:val="17"/>
                <w:szCs w:val="17"/>
              </w:rPr>
              <w:t xml:space="preserve">[Convergence]</w:t>
            </w:r>
          </w:p>
        </w:tc>
        <w:tc>
          <w:tcPr>
            <w:tcW w:type="dxa" w:w="73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Frankl and Sinek converge on the structure of meaningful human endeavor from incomparably different directions. Frankl's observation — that meaning is most resilient when oriented toward something beyond the self and extending into a future the individual will not fully see — is the existential expression of Sinek's infinite-game claim. Both argue that finite meaning (meaning bounded by personal achievement or career completion) is structurally less stable than meaning rooted in a cause larger than the self. For the transition reader who has experienced the hollow feeling of finite success, this convergence provides the clearest available diagnosis of what they are actually experiencing.</w:t>
            </w:r>
          </w:p>
        </w:tc>
      </w:tr>
      <w:tr>
        <w:tc>
          <w:tcPr>
            <w:tcW w:type="dxa" w:w="20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before="0"/>
            </w:pPr>
            <w:r>
              <w:rPr>
                <w:rFonts w:ascii="Arial" w:cs="Arial" w:eastAsia="Arial" w:hAnsi="Arial"/>
                <w:b/>
                <w:bCs/>
                <w:color w:val="1B3A5C"/>
                <w:sz w:val="17"/>
                <w:szCs w:val="17"/>
              </w:rPr>
              <w:t xml:space="preserve">Collins (Good to Great) + Frankl</w:t>
            </w:r>
          </w:p>
          <w:p>
            <w:pPr>
              <w:spacing w:after="60" w:before="0"/>
            </w:pPr>
            <w:r>
              <w:rPr>
                <w:rFonts w:ascii="Arial" w:cs="Arial" w:eastAsia="Arial" w:hAnsi="Arial"/>
                <w:b/>
                <w:bCs/>
                <w:color w:val="1B3A5C"/>
                <w:sz w:val="17"/>
                <w:szCs w:val="17"/>
              </w:rPr>
              <w:t xml:space="preserve">[Empirical Echo]</w:t>
            </w:r>
          </w:p>
        </w:tc>
        <w:tc>
          <w:tcPr>
            <w:tcW w:type="dxa" w:w="73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Collins' Level 5 Leaders — who directed ambition toward the institution rather than toward themselves — are the organizational research expression of Frankl's philosophical observation that meaning rooted in contribution to others is more durable than meaning rooted in personal recognition. Collins arrived at this through systematic research on sustained organizational excellence. Frankl arrived at it through survival data from extreme adversity. The convergence across such different methods — one empirical and organizational, one philosophical and existential — is the library's most striking validation of a single claim: that other-directed meaning outlasts self-directed meaning in the most demanding circumstances available as evidence.</w:t>
            </w:r>
          </w:p>
        </w:tc>
      </w:tr>
    </w:tbl>
    <w:p>
      <w:pPr>
        <w:spacing w:after="0" w:before="200"/>
      </w:pPr>
    </w:p>
    <w:p>
      <w:pPr>
        <w:spacing w:after="120" w:before="320"/>
      </w:pPr>
      <w:r>
        <w:rPr>
          <w:rFonts w:ascii="Arial" w:cs="Arial" w:eastAsia="Arial" w:hAnsi="Arial"/>
          <w:b/>
          <w:bCs/>
          <w:color w:val="1B3A5C"/>
          <w:sz w:val="18"/>
          <w:szCs w:val="18"/>
        </w:rPr>
        <w:t xml:space="preserve">WHERE THE AUTHORS DIVERGE</w:t>
      </w:r>
    </w:p>
    <w:p>
      <w:pPr>
        <w:spacing w:after="160" w:before="0"/>
      </w:pPr>
      <w:r>
        <w:rPr>
          <w:rFonts w:ascii="Arial" w:cs="Arial" w:eastAsia="Arial" w:hAnsi="Arial"/>
          <w:color w:val="4A5568"/>
          <w:sz w:val="20"/>
          <w:szCs w:val="20"/>
        </w:rPr>
        <w:t xml:space="preserve">The library is honest about genuine tensions — places where books approach the same theme from meaningfully different angles, or where an author's framework is stronger in some conditions than others. These tensions are productive rather than disqualifying.</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FF8E1" w:val="clear"/>
            <w:tcMar>
              <w:top w:type="dxa" w:w="100"/>
              <w:left w:type="dxa" w:w="140"/>
              <w:bottom w:type="dxa" w:w="100"/>
              <w:right w:type="dxa" w:w="140"/>
            </w:tcMar>
          </w:tcPr>
          <w:p>
            <w:r>
              <w:rPr>
                <w:rFonts w:ascii="Arial" w:cs="Arial" w:eastAsia="Arial" w:hAnsi="Arial"/>
                <w:b/>
                <w:bCs/>
                <w:color w:val="7B5900"/>
                <w:sz w:val="18"/>
                <w:szCs w:val="18"/>
              </w:rPr>
              <w:t xml:space="preserve">Suffering as Path vs. Limit</w:t>
            </w:r>
          </w:p>
        </w:tc>
        <w:tc>
          <w:tcPr>
            <w:tcW w:type="dxa" w:w="67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Frankl, Holiday — adversity as the material of meaning vs. The books themselves — an acknowledged limitation. The Stoic and existential tradition risks a misreading: that suffering is inherently meaningful, or that the framework for finding meaning in adversity always succeeds. Both Frankl and Holiday acknowledge, with varying degrees of explicitness, that this claim has limits. Frankl is careful to say that meaning in suffering applies when the suffering cannot be avoided — not that all suffering should be endured. Holiday's framework breaks down where adversity produces genuine damage regardless of orientation. The productive tension here is between an honest engagement with adversity as material and the recognition that some obstacles are genuinely not paths.</w:t>
            </w:r>
          </w:p>
        </w:tc>
      </w:tr>
      <w:tr>
        <w:tc>
          <w:tcPr>
            <w:tcW w:type="dxa" w:w="2600"/>
            <w:tcBorders>
              <w:top w:val="single" w:color="CBD5E0" w:sz="1"/>
              <w:left w:val="single" w:color="CBD5E0" w:sz="1"/>
              <w:bottom w:val="single" w:color="CBD5E0" w:sz="1"/>
              <w:right w:val="single" w:color="CBD5E0" w:sz="1"/>
            </w:tcBorders>
            <w:shd w:fill="FFF8E1" w:val="clear"/>
            <w:tcMar>
              <w:top w:type="dxa" w:w="100"/>
              <w:left w:type="dxa" w:w="140"/>
              <w:bottom w:type="dxa" w:w="100"/>
              <w:right w:type="dxa" w:w="140"/>
            </w:tcMar>
          </w:tcPr>
          <w:p>
            <w:r>
              <w:rPr>
                <w:rFonts w:ascii="Arial" w:cs="Arial" w:eastAsia="Arial" w:hAnsi="Arial"/>
                <w:b/>
                <w:bCs/>
                <w:color w:val="7B5900"/>
                <w:sz w:val="18"/>
                <w:szCs w:val="18"/>
              </w:rPr>
              <w:t xml:space="preserve">Active vs. Receptive</w:t>
            </w:r>
          </w:p>
        </w:tc>
        <w:tc>
          <w:tcPr>
            <w:tcW w:type="dxa" w:w="67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Holiday, Covey — meaning is built through disciplined response vs. Frankl — meaning is discovered, not manufactured. Holiday and Covey treat meaning as something constructed through the quality of one's engagement with circumstance — active, disciplined, chosen. Frankl insists that meaning cannot be directly pursued: it emerges as a by-product of living in response to what the situation demands. The distinction matters in transition: leaders who try to manufacture meaning through positive framing often produce a performance rather than a genuine reckoning. Frankl's receptive model — listening for what the situation is asking rather than declaring what it means — is frequently more honest and ultimately more useful.</w:t>
            </w:r>
          </w:p>
        </w:tc>
      </w:tr>
    </w:tbl>
    <w:p>
      <w:pPr>
        <w:spacing w:after="0" w:before="200"/>
      </w:pPr>
    </w:p>
    <w:p>
      <w:pPr>
        <w:spacing w:after="120" w:before="320"/>
      </w:pPr>
      <w:r>
        <w:rPr>
          <w:rFonts w:ascii="Arial" w:cs="Arial" w:eastAsia="Arial" w:hAnsi="Arial"/>
          <w:b/>
          <w:bCs/>
          <w:color w:val="1B3A5C"/>
          <w:sz w:val="18"/>
          <w:szCs w:val="18"/>
        </w:rPr>
        <w:t xml:space="preserve">LEADERSHIP APPLICATION</w:t>
      </w:r>
    </w:p>
    <w:p>
      <w:pPr>
        <w:spacing w:after="160" w:before="0"/>
      </w:pPr>
      <w:r>
        <w:rPr>
          <w:rFonts w:ascii="Arial" w:cs="Arial" w:eastAsia="Arial" w:hAnsi="Arial"/>
          <w:color w:val="4A5568"/>
          <w:sz w:val="20"/>
          <w:szCs w:val="20"/>
        </w:rPr>
        <w:t xml:space="preserve">The library's meaning framework offers the transition reader something that most practical transition guides do not: an honest acknowledgment that the question underneath the logistical difficulty is existential. The career change is real. But the meaning crisis — the loss of a purpose-rich institutional life and the disorientation of not yet having found its replacement — is also real, and it is not resolved by the next job title. The books in this theme argue, from different angles and across multiple centuries, that meaning in the next chapter requires the same conditions that made service meaningful: genuine contribution, real stakes, and orientation toward something larger than oneself.</w:t>
      </w:r>
    </w:p>
    <w:p>
      <w:pPr>
        <w:spacing w:after="0" w:before="100"/>
      </w:pPr>
    </w:p>
    <w:p>
      <w:pPr>
        <w:spacing w:after="120" w:before="320"/>
      </w:pPr>
      <w:r>
        <w:rPr>
          <w:rFonts w:ascii="Arial" w:cs="Arial" w:eastAsia="Arial" w:hAnsi="Arial"/>
          <w:b/>
          <w:bCs/>
          <w:color w:val="1B3A5C"/>
          <w:sz w:val="18"/>
          <w:szCs w:val="18"/>
        </w:rPr>
        <w:t xml:space="preserve">TRANSITION APPLICATION</w:t>
      </w:r>
    </w:p>
    <w:p>
      <w:pPr>
        <w:spacing w:after="160" w:before="0"/>
      </w:pPr>
      <w:r>
        <w:rPr>
          <w:rFonts w:ascii="Arial" w:cs="Arial" w:eastAsia="Arial" w:hAnsi="Arial"/>
          <w:color w:val="4A5568"/>
          <w:sz w:val="20"/>
          <w:szCs w:val="20"/>
        </w:rPr>
        <w:t xml:space="preserve">The specific meaning challenge of military transition is not the absence of meaning in what comes next. It is the sudden removal of a meaning architecture that the institution provided so completely that most leaders never had to construct one deliberately. The first civilian year often feels hollow not because the work is unimportant but because meaning — the felt sense that what one does is worth the cost — has to be rebuilt from scratch rather than inherited from the institution. That rebuilding is the actual project of the first chapter after service.</w:t>
      </w:r>
    </w:p>
    <w:p>
      <w:pPr>
        <w:spacing w:after="0" w:before="100"/>
      </w:pPr>
    </w:p>
    <w:p>
      <w:pPr>
        <w:spacing w:after="120" w:before="320"/>
      </w:pPr>
      <w:r>
        <w:rPr>
          <w:rFonts w:ascii="Arial" w:cs="Arial" w:eastAsia="Arial" w:hAnsi="Arial"/>
          <w:b/>
          <w:bCs/>
          <w:color w:val="1B3A5C"/>
          <w:sz w:val="18"/>
          <w:szCs w:val="18"/>
        </w:rPr>
        <w:t xml:space="preserve">GATEWAY BOOKS</w:t>
      </w:r>
    </w:p>
    <w:p>
      <w:pPr>
        <w:spacing w:after="160" w:before="0"/>
      </w:pPr>
      <w:r>
        <w:rPr>
          <w:rFonts w:ascii="Arial" w:cs="Arial" w:eastAsia="Arial" w:hAnsi="Arial"/>
          <w:color w:val="4A5568"/>
          <w:sz w:val="20"/>
          <w:szCs w:val="20"/>
        </w:rPr>
        <w:t xml:space="preserve">Recommended entry points for readers new to this theme. Selected not by node tier but by accessibility and direct relevance to the primary reader.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40" w:before="0"/>
            </w:pPr>
            <w:r>
              <w:rPr>
                <w:rFonts w:ascii="Arial" w:cs="Arial" w:eastAsia="Arial" w:hAnsi="Arial"/>
                <w:b/>
                <w:bCs/>
                <w:color w:val="1B3A5C"/>
                <w:sz w:val="18"/>
                <w:szCs w:val="18"/>
              </w:rPr>
              <w:t xml:space="preserve">Man's Search for Meaning</w:t>
            </w:r>
          </w:p>
          <w:p>
            <w:pPr>
              <w:spacing w:after="0" w:before="0"/>
            </w:pPr>
            <w:r>
              <w:rPr>
                <w:rFonts w:ascii="Arial" w:cs="Arial" w:eastAsia="Arial" w:hAnsi="Arial"/>
                <w:color w:val="B8960C"/>
                <w:sz w:val="16"/>
                <w:szCs w:val="16"/>
              </w:rPr>
              <w:t xml:space="preserve">Viktor Frankl</w:t>
            </w:r>
          </w:p>
        </w:tc>
        <w:tc>
          <w:tcPr>
            <w:tcW w:type="dxa" w:w="65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foundational text — the only book in the library that addresses meaning directly from survival data and does not flinch.</w:t>
            </w:r>
          </w:p>
        </w:tc>
      </w:tr>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40" w:before="0"/>
            </w:pPr>
            <w:r>
              <w:rPr>
                <w:rFonts w:ascii="Arial" w:cs="Arial" w:eastAsia="Arial" w:hAnsi="Arial"/>
                <w:b/>
                <w:bCs/>
                <w:color w:val="1B3A5C"/>
                <w:sz w:val="18"/>
                <w:szCs w:val="18"/>
              </w:rPr>
              <w:t xml:space="preserve">Meditations</w:t>
            </w:r>
          </w:p>
          <w:p>
            <w:pPr>
              <w:spacing w:after="0" w:before="0"/>
            </w:pPr>
            <w:r>
              <w:rPr>
                <w:rFonts w:ascii="Arial" w:cs="Arial" w:eastAsia="Arial" w:hAnsi="Arial"/>
                <w:color w:val="B8960C"/>
                <w:sz w:val="16"/>
                <w:szCs w:val="16"/>
              </w:rPr>
              <w:t xml:space="preserve">Marcus Aurelius</w:t>
            </w:r>
          </w:p>
        </w:tc>
        <w:tc>
          <w:tcPr>
            <w:tcW w:type="dxa" w:w="65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philosophical practice companion — demonstrates what a meaning framework looks like when it is lived daily rather than described.</w:t>
            </w:r>
          </w:p>
        </w:tc>
      </w:tr>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40" w:before="0"/>
            </w:pPr>
            <w:r>
              <w:rPr>
                <w:rFonts w:ascii="Arial" w:cs="Arial" w:eastAsia="Arial" w:hAnsi="Arial"/>
                <w:b/>
                <w:bCs/>
                <w:color w:val="1B3A5C"/>
                <w:sz w:val="18"/>
                <w:szCs w:val="18"/>
              </w:rPr>
              <w:t xml:space="preserve">The Obstacle Is the Way</w:t>
            </w:r>
          </w:p>
          <w:p>
            <w:pPr>
              <w:spacing w:after="0" w:before="0"/>
            </w:pPr>
            <w:r>
              <w:rPr>
                <w:rFonts w:ascii="Arial" w:cs="Arial" w:eastAsia="Arial" w:hAnsi="Arial"/>
                <w:color w:val="B8960C"/>
                <w:sz w:val="16"/>
                <w:szCs w:val="16"/>
              </w:rPr>
              <w:t xml:space="preserve">Ryan Holiday</w:t>
            </w:r>
          </w:p>
        </w:tc>
        <w:tc>
          <w:tcPr>
            <w:tcW w:type="dxa" w:w="65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applied extension — translates the Frankl-Aurelius meaning framework into a practical discipline for navigating adversity.</w:t>
            </w:r>
          </w:p>
        </w:tc>
      </w:tr>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40" w:before="0"/>
            </w:pPr>
            <w:r>
              <w:rPr>
                <w:rFonts w:ascii="Arial" w:cs="Arial" w:eastAsia="Arial" w:hAnsi="Arial"/>
                <w:b/>
                <w:bCs/>
                <w:color w:val="1B3A5C"/>
                <w:sz w:val="18"/>
                <w:szCs w:val="18"/>
              </w:rPr>
              <w:t xml:space="preserve">The Infinite Game</w:t>
            </w:r>
          </w:p>
          <w:p>
            <w:pPr>
              <w:spacing w:after="0" w:before="0"/>
            </w:pPr>
            <w:r>
              <w:rPr>
                <w:rFonts w:ascii="Arial" w:cs="Arial" w:eastAsia="Arial" w:hAnsi="Arial"/>
                <w:color w:val="B8960C"/>
                <w:sz w:val="16"/>
                <w:szCs w:val="16"/>
              </w:rPr>
              <w:t xml:space="preserve">Simon Sinek</w:t>
            </w:r>
          </w:p>
        </w:tc>
        <w:tc>
          <w:tcPr>
            <w:tcW w:type="dxa" w:w="65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organizational and legacy dimension — extends meaning into the question of what the leader builds that outlasts their own participation.</w:t>
            </w:r>
          </w:p>
        </w:tc>
      </w:tr>
    </w:tbl>
    <w:p>
      <w:pPr>
        <w:spacing w:after="0" w:before="100"/>
      </w:pPr>
    </w:p>
    <w:p>
      <w:pPr>
        <w:spacing w:after="120" w:before="320"/>
      </w:pPr>
      <w:r>
        <w:rPr>
          <w:rFonts w:ascii="Arial" w:cs="Arial" w:eastAsia="Arial" w:hAnsi="Arial"/>
          <w:b/>
          <w:bCs/>
          <w:color w:val="1B3A5C"/>
          <w:sz w:val="18"/>
          <w:szCs w:val="18"/>
        </w:rPr>
        <w:t xml:space="preserve">THEME EVOLUTION NOTES</w:t>
      </w:r>
    </w:p>
    <w:p>
      <w:pPr>
        <w:spacing w:after="160" w:before="0"/>
      </w:pPr>
      <w:r>
        <w:rPr>
          <w:rFonts w:ascii="Arial" w:cs="Arial" w:eastAsia="Arial" w:hAnsi="Arial"/>
          <w:color w:val="4A5568"/>
          <w:sz w:val="20"/>
          <w:szCs w:val="20"/>
        </w:rPr>
        <w:t xml:space="preserve">Meaning is anchored by the library's strongest philosophical cluster. Current gaps include faith-based meaning frameworks and texts that directly address the grief dimension of meaning loss at transition — the mourning of a meaningful life that the next chapter must work to equal.</w:t>
      </w:r>
    </w:p>
    <w:p>
      <w:r>
        <w:br w:type="page"/>
      </w:r>
    </w:p>
    <w:p>
      <w:pPr>
        <w:spacing w:after="80" w:before="0"/>
      </w:pPr>
      <w:r>
        <w:rPr>
          <w:rFonts w:ascii="Arial" w:cs="Arial" w:eastAsia="Arial" w:hAnsi="Arial"/>
          <w:b/>
          <w:bCs/>
          <w:color w:val="1B3A5C"/>
          <w:sz w:val="52"/>
          <w:szCs w:val="52"/>
        </w:rPr>
        <w:t xml:space="preserve">SERVICE</w:t>
      </w:r>
    </w:p>
    <w:p>
      <w:pPr>
        <w:spacing w:after="240" w:before="0"/>
      </w:pPr>
      <w:r>
        <w:rPr>
          <w:rFonts w:ascii="Arial" w:cs="Arial" w:eastAsia="Arial" w:hAnsi="Arial"/>
          <w:b/>
          <w:bCs/>
          <w:color w:val="B8960C"/>
          <w:sz w:val="24"/>
          <w:szCs w:val="24"/>
        </w:rPr>
        <w:t xml:space="preserve">What does leading as service look like when rank no longer confers it?</w:t>
      </w:r>
    </w:p>
    <w:p>
      <w:pPr>
        <w:pBdr>
          <w:bottom w:val="single" w:color="B8960C" w:sz="4" w:space="1"/>
        </w:pBdr>
        <w:spacing w:after="300" w:before="100"/>
      </w:pPr>
    </w:p>
    <w:p>
      <w:pPr>
        <w:spacing w:after="120" w:before="320"/>
      </w:pPr>
      <w:r>
        <w:rPr>
          <w:rFonts w:ascii="Arial" w:cs="Arial" w:eastAsia="Arial" w:hAnsi="Arial"/>
          <w:b/>
          <w:bCs/>
          <w:color w:val="1B3A5C"/>
          <w:sz w:val="18"/>
          <w:szCs w:val="18"/>
        </w:rPr>
        <w:t xml:space="preserve">THEME DEFINITION</w:t>
      </w:r>
    </w:p>
    <w:p>
      <w:pPr>
        <w:spacing w:after="160" w:before="0"/>
      </w:pPr>
      <w:r>
        <w:rPr>
          <w:rFonts w:ascii="Arial" w:cs="Arial" w:eastAsia="Arial" w:hAnsi="Arial"/>
          <w:color w:val="4A5568"/>
          <w:sz w:val="20"/>
          <w:szCs w:val="20"/>
        </w:rPr>
        <w:t xml:space="preserve">Within this library, service is the orientation that defines the library's primary reader at their best: the choice to direct one's authority, attention, and capability toward the welfare and growth of others rather than toward personal advancement. Service is not a job description assigned by rank — it is an orientation that precedes and survives institutional affiliation. The library treats service as both the deepest expression of leadership and the most natural bridge between military identity and post-service purpose. The convergent insight: service that is chosen rather than assigned is more durable, more honest, and more generative than service performed because the institution rewards it.</w:t>
      </w:r>
    </w:p>
    <w:p>
      <w:pPr>
        <w:spacing w:after="0" w:before="100"/>
      </w:pPr>
    </w:p>
    <w:p>
      <w:pPr>
        <w:spacing w:after="120" w:before="320"/>
      </w:pPr>
      <w:r>
        <w:rPr>
          <w:rFonts w:ascii="Arial" w:cs="Arial" w:eastAsia="Arial" w:hAnsi="Arial"/>
          <w:b/>
          <w:bCs/>
          <w:color w:val="1B3A5C"/>
          <w:sz w:val="18"/>
          <w:szCs w:val="18"/>
        </w:rPr>
        <w:t xml:space="preserve">THEME AT A GLANCE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Primary Books</w:t>
            </w:r>
          </w:p>
        </w:tc>
        <w:tc>
          <w:tcPr>
            <w:tcW w:type="dxa" w:w="71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4A5568"/>
                <w:sz w:val="18"/>
                <w:szCs w:val="18"/>
              </w:rPr>
              <w:t xml:space="preserve">The Servant as Leader · Greenleaf  ·  Leaders Eat Last · Sinek  ·  Meditations · Aurelius  ·  Extreme Ownership · Willink &amp; Babin  ·  The Infinite Game · Sinek  ·  Good to Great · Collins</w:t>
            </w:r>
          </w:p>
        </w:tc>
      </w:tr>
    </w:tbl>
    <w:p>
      <w:pPr>
        <w:spacing w:after="0" w:before="200"/>
      </w:pPr>
    </w:p>
    <w:p>
      <w:pPr>
        <w:spacing w:after="120" w:before="320"/>
      </w:pPr>
      <w:r>
        <w:rPr>
          <w:rFonts w:ascii="Arial" w:cs="Arial" w:eastAsia="Arial" w:hAnsi="Arial"/>
          <w:b/>
          <w:bCs/>
          <w:color w:val="1B3A5C"/>
          <w:sz w:val="18"/>
          <w:szCs w:val="18"/>
        </w:rPr>
        <w:t xml:space="preserve">WHERE THE AUTHORS CONVERGE</w:t>
      </w:r>
    </w:p>
    <w:p>
      <w:pPr>
        <w:spacing w:after="160" w:before="0"/>
      </w:pPr>
      <w:r>
        <w:rPr>
          <w:rFonts w:ascii="Arial" w:cs="Arial" w:eastAsia="Arial" w:hAnsi="Arial"/>
          <w:color w:val="4A5568"/>
          <w:sz w:val="20"/>
          <w:szCs w:val="20"/>
        </w:rPr>
        <w:t xml:space="preserve">The following convergences represent the specific points where books from different traditions, eras, or genres arrive at the same essential insight independently — the library's strongest evidence for what is genuinely true about this theme.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before="0"/>
            </w:pPr>
            <w:r>
              <w:rPr>
                <w:rFonts w:ascii="Arial" w:cs="Arial" w:eastAsia="Arial" w:hAnsi="Arial"/>
                <w:b/>
                <w:bCs/>
                <w:color w:val="1B3A5C"/>
                <w:sz w:val="17"/>
                <w:szCs w:val="17"/>
              </w:rPr>
              <w:t xml:space="preserve">Greenleaf + Aurelius</w:t>
            </w:r>
          </w:p>
          <w:p>
            <w:pPr>
              <w:spacing w:after="60" w:before="0"/>
            </w:pPr>
            <w:r>
              <w:rPr>
                <w:rFonts w:ascii="Arial" w:cs="Arial" w:eastAsia="Arial" w:hAnsi="Arial"/>
                <w:b/>
                <w:bCs/>
                <w:color w:val="1B3A5C"/>
                <w:sz w:val="17"/>
                <w:szCs w:val="17"/>
              </w:rPr>
              <w:t xml:space="preserve">[Convergence across 1,800 years]</w:t>
            </w:r>
          </w:p>
        </w:tc>
        <w:tc>
          <w:tcPr>
            <w:tcW w:type="dxa" w:w="73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Greenleaf's twentieth-century organizational philosophy and Aurelius's second-century Stoic practice arrive at the same formulation of service: it is the natural expression of a particular kind of character — one that defines itself in relation to others rather than in relation to its own achievement. Aurelius returns repeatedly in the Meditations to the claim that his authority existed to serve the welfare of those under his care, and that any use of it for personal aggrandizement was a failure of both character and purpose. Greenleaf makes the identical argument from a secular managerial tradition without ever having read Aurelius. The convergence across eighteen centuries and entirely different intellectual contexts suggests this is not a philosophical preference but a discovered truth about what leadership, at its best, actually is.</w:t>
            </w:r>
          </w:p>
        </w:tc>
      </w:tr>
      <w:tr>
        <w:tc>
          <w:tcPr>
            <w:tcW w:type="dxa" w:w="20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before="0"/>
            </w:pPr>
            <w:r>
              <w:rPr>
                <w:rFonts w:ascii="Arial" w:cs="Arial" w:eastAsia="Arial" w:hAnsi="Arial"/>
                <w:b/>
                <w:bCs/>
                <w:color w:val="1B3A5C"/>
                <w:sz w:val="17"/>
                <w:szCs w:val="17"/>
              </w:rPr>
              <w:t xml:space="preserve">Greenleaf + Sinek (Leaders Eat Last)</w:t>
            </w:r>
          </w:p>
          <w:p>
            <w:pPr>
              <w:spacing w:after="60" w:before="0"/>
            </w:pPr>
            <w:r>
              <w:rPr>
                <w:rFonts w:ascii="Arial" w:cs="Arial" w:eastAsia="Arial" w:hAnsi="Arial"/>
                <w:b/>
                <w:bCs/>
                <w:color w:val="1B3A5C"/>
                <w:sz w:val="17"/>
                <w:szCs w:val="17"/>
              </w:rPr>
              <w:t xml:space="preserve">[Philosophy-Science Bridge]</w:t>
            </w:r>
          </w:p>
        </w:tc>
        <w:tc>
          <w:tcPr>
            <w:tcW w:type="dxa" w:w="73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Greenleaf's servant-leader test — do those served grow as persons? — and Sinek's circle of safety are convergent descriptions of the same leadership orientation operating at different levels of analysis. Greenleaf approaches it philosophically and morally: the leader who serves the growth of others is fulfilling the deepest purpose of leadership. Sinek approaches it biologically and organizationally: the leader who creates an environment where people feel genuinely protected triggers the neurochemical architecture of trust and belonging that produces the willingness to sacrifice that service cultures require. The bridge reveals that Greenleaf's moral claim and Sinek's biological claim are not two different things — they are the same thing described in the languages of two different centuries.</w:t>
            </w:r>
          </w:p>
        </w:tc>
      </w:tr>
      <w:tr>
        <w:tc>
          <w:tcPr>
            <w:tcW w:type="dxa" w:w="20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before="0"/>
            </w:pPr>
            <w:r>
              <w:rPr>
                <w:rFonts w:ascii="Arial" w:cs="Arial" w:eastAsia="Arial" w:hAnsi="Arial"/>
                <w:b/>
                <w:bCs/>
                <w:color w:val="1B3A5C"/>
                <w:sz w:val="17"/>
                <w:szCs w:val="17"/>
              </w:rPr>
              <w:t xml:space="preserve">Willink &amp; Babin + Sinek (Leaders Eat Last)</w:t>
            </w:r>
          </w:p>
          <w:p>
            <w:pPr>
              <w:spacing w:after="60" w:before="0"/>
            </w:pPr>
            <w:r>
              <w:rPr>
                <w:rFonts w:ascii="Arial" w:cs="Arial" w:eastAsia="Arial" w:hAnsi="Arial"/>
                <w:b/>
                <w:bCs/>
                <w:color w:val="1B3A5C"/>
                <w:sz w:val="17"/>
                <w:szCs w:val="17"/>
              </w:rPr>
              <w:t xml:space="preserve">[Convergence]</w:t>
            </w:r>
          </w:p>
        </w:tc>
        <w:tc>
          <w:tcPr>
            <w:tcW w:type="dxa" w:w="73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Willink's cover-and-move principle — the accountability that the success of the overall mission takes precedence over any individual element — and Sinek's circle of safety are convergent frameworks for what service looks like inside an operational structure. Both argue that the leader's primary accountability is not to their own performance metrics but to the conditions under which the people around them can perform. Sinek's biological framework explains why Willink's orientation produces the results it does: the leader who genuinely protects people from internal threats triggers the neurochemical conditions for the trust and willingness to sacrifice that Extreme Ownership's best examples demonstrate. The convergence is this: extreme ownership and servant leadership are not different philosophies — they are the same service orientation described in the languages of SEAL teams and organizational science.</w:t>
            </w:r>
          </w:p>
        </w:tc>
      </w:tr>
      <w:tr>
        <w:tc>
          <w:tcPr>
            <w:tcW w:type="dxa" w:w="20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before="0"/>
            </w:pPr>
            <w:r>
              <w:rPr>
                <w:rFonts w:ascii="Arial" w:cs="Arial" w:eastAsia="Arial" w:hAnsi="Arial"/>
                <w:b/>
                <w:bCs/>
                <w:color w:val="1B3A5C"/>
                <w:sz w:val="17"/>
                <w:szCs w:val="17"/>
              </w:rPr>
              <w:t xml:space="preserve">Collins (Good to Great) + Greenleaf</w:t>
            </w:r>
          </w:p>
          <w:p>
            <w:pPr>
              <w:spacing w:after="60" w:before="0"/>
            </w:pPr>
            <w:r>
              <w:rPr>
                <w:rFonts w:ascii="Arial" w:cs="Arial" w:eastAsia="Arial" w:hAnsi="Arial"/>
                <w:b/>
                <w:bCs/>
                <w:color w:val="1B3A5C"/>
                <w:sz w:val="17"/>
                <w:szCs w:val="17"/>
              </w:rPr>
              <w:t xml:space="preserve">[Empirical Validation]</w:t>
            </w:r>
          </w:p>
        </w:tc>
        <w:tc>
          <w:tcPr>
            <w:tcW w:type="dxa" w:w="73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Collins' Level 5 Leadership — leaders who looked in the mirror when things went wrong and out the window when things went right — is the organizational research validation of Greenleaf's servant-leader orientation. Collins did not approach his research with a service-leadership thesis. He found the pattern in the data. The Level 5 leader's defining characteristic — directing ambition toward the institution rather than toward themselves — is Greenleaf's formulation, validated by five years of systematic comparison across matched organizational pairs. For the military leader who finds Greenleaf compelling but abstract, Collins provides the evidence that the orientation is not idealistic but is, in fact, the most empirically documented predictor of sustained organizational excellence available in the civilian leadership literature.</w:t>
            </w:r>
          </w:p>
        </w:tc>
      </w:tr>
    </w:tbl>
    <w:p>
      <w:pPr>
        <w:spacing w:after="0" w:before="200"/>
      </w:pPr>
    </w:p>
    <w:p>
      <w:pPr>
        <w:spacing w:after="120" w:before="320"/>
      </w:pPr>
      <w:r>
        <w:rPr>
          <w:rFonts w:ascii="Arial" w:cs="Arial" w:eastAsia="Arial" w:hAnsi="Arial"/>
          <w:b/>
          <w:bCs/>
          <w:color w:val="1B3A5C"/>
          <w:sz w:val="18"/>
          <w:szCs w:val="18"/>
        </w:rPr>
        <w:t xml:space="preserve">WHERE THE AUTHORS DIVERGE</w:t>
      </w:r>
    </w:p>
    <w:p>
      <w:pPr>
        <w:spacing w:after="160" w:before="0"/>
      </w:pPr>
      <w:r>
        <w:rPr>
          <w:rFonts w:ascii="Arial" w:cs="Arial" w:eastAsia="Arial" w:hAnsi="Arial"/>
          <w:color w:val="4A5568"/>
          <w:sz w:val="20"/>
          <w:szCs w:val="20"/>
        </w:rPr>
        <w:t xml:space="preserve">The library is honest about genuine tensions — places where books approach the same theme from meaningfully different angles, or where an author's framework is stronger in some conditions than others. These tensions are productive rather than disqualifying.</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FF8E1" w:val="clear"/>
            <w:tcMar>
              <w:top w:type="dxa" w:w="100"/>
              <w:left w:type="dxa" w:w="140"/>
              <w:bottom w:type="dxa" w:w="100"/>
              <w:right w:type="dxa" w:w="140"/>
            </w:tcMar>
          </w:tcPr>
          <w:p>
            <w:r>
              <w:rPr>
                <w:rFonts w:ascii="Arial" w:cs="Arial" w:eastAsia="Arial" w:hAnsi="Arial"/>
                <w:b/>
                <w:bCs/>
                <w:color w:val="7B5900"/>
                <w:sz w:val="18"/>
                <w:szCs w:val="18"/>
              </w:rPr>
              <w:t xml:space="preserve">Chosen vs. Institutional</w:t>
            </w:r>
          </w:p>
        </w:tc>
        <w:tc>
          <w:tcPr>
            <w:tcW w:type="dxa" w:w="67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Greenleaf — service as calling, not assignment vs. The transition reality. Greenleaf draws a distinction that matters most during transition: between leaders who serve because the institution rewards service and leaders who serve because it is the answer to their deepest question about what leadership is for. The transition tests this distinction. The leader who served primarily because military culture enforced and rewarded service will find the motivation structure gone when the institution is. The leader who served because it was genuinely their orientation will find that nothing has changed except the context. Transition does not create this distinction — it reveals it.</w:t>
            </w:r>
          </w:p>
        </w:tc>
      </w:tr>
      <w:tr>
        <w:tc>
          <w:tcPr>
            <w:tcW w:type="dxa" w:w="2600"/>
            <w:tcBorders>
              <w:top w:val="single" w:color="CBD5E0" w:sz="1"/>
              <w:left w:val="single" w:color="CBD5E0" w:sz="1"/>
              <w:bottom w:val="single" w:color="CBD5E0" w:sz="1"/>
              <w:right w:val="single" w:color="CBD5E0" w:sz="1"/>
            </w:tcBorders>
            <w:shd w:fill="FFF8E1" w:val="clear"/>
            <w:tcMar>
              <w:top w:type="dxa" w:w="100"/>
              <w:left w:type="dxa" w:w="140"/>
              <w:bottom w:type="dxa" w:w="100"/>
              <w:right w:type="dxa" w:w="140"/>
            </w:tcMar>
          </w:tcPr>
          <w:p>
            <w:r>
              <w:rPr>
                <w:rFonts w:ascii="Arial" w:cs="Arial" w:eastAsia="Arial" w:hAnsi="Arial"/>
                <w:b/>
                <w:bCs/>
                <w:color w:val="7B5900"/>
                <w:sz w:val="18"/>
                <w:szCs w:val="18"/>
              </w:rPr>
              <w:t xml:space="preserve">Service vs. Self-Sacrifice</w:t>
            </w:r>
          </w:p>
        </w:tc>
        <w:tc>
          <w:tcPr>
            <w:tcW w:type="dxa" w:w="67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Greenleaf, Sinek — service as the foundation of genuine leadership vs. Extreme Ownership — service does not mean absorbing institutional dysfunction. The library's service framework can, if read uncritically, produce a stance that is exploitable rather than effective. Service orientation in a civilian organization that lacks a healthy accountability culture can be systematically extracted without reciprocal investment in the leader's welfare. Willink and Sinek both acknowledge, in different terms, that the leader who serves must do so within a structure that is worth serving. The distinction is between service as the primary orientation of genuine leadership and service as the performance of unlimited sacrifice regardless of the organizational conditions.</w:t>
            </w:r>
          </w:p>
        </w:tc>
      </w:tr>
    </w:tbl>
    <w:p>
      <w:pPr>
        <w:spacing w:after="0" w:before="200"/>
      </w:pPr>
    </w:p>
    <w:p>
      <w:pPr>
        <w:spacing w:after="120" w:before="320"/>
      </w:pPr>
      <w:r>
        <w:rPr>
          <w:rFonts w:ascii="Arial" w:cs="Arial" w:eastAsia="Arial" w:hAnsi="Arial"/>
          <w:b/>
          <w:bCs/>
          <w:color w:val="1B3A5C"/>
          <w:sz w:val="18"/>
          <w:szCs w:val="18"/>
        </w:rPr>
        <w:t xml:space="preserve">LEADERSHIP APPLICATION</w:t>
      </w:r>
    </w:p>
    <w:p>
      <w:pPr>
        <w:spacing w:after="160" w:before="0"/>
      </w:pPr>
      <w:r>
        <w:rPr>
          <w:rFonts w:ascii="Arial" w:cs="Arial" w:eastAsia="Arial" w:hAnsi="Arial"/>
          <w:color w:val="4A5568"/>
          <w:sz w:val="20"/>
          <w:szCs w:val="20"/>
        </w:rPr>
        <w:t xml:space="preserve">The library's argument is that service is the most natural bridge between what military leadership was and what post-service leadership can become. The transition does not require the leader to learn a new orientation — it requires them to discover that the orientation they spent a career expressing is portable, applicable in civilian contexts at any scale, and more urgently needed in civilian organizations (which rarely have structural mechanisms for producing it) than in military ones (which do). The challenge is not finding the service orientation. It is finding the organizations and contexts where it can be expressed honestly.</w:t>
      </w:r>
    </w:p>
    <w:p>
      <w:pPr>
        <w:spacing w:after="0" w:before="100"/>
      </w:pPr>
    </w:p>
    <w:p>
      <w:pPr>
        <w:spacing w:after="120" w:before="320"/>
      </w:pPr>
      <w:r>
        <w:rPr>
          <w:rFonts w:ascii="Arial" w:cs="Arial" w:eastAsia="Arial" w:hAnsi="Arial"/>
          <w:b/>
          <w:bCs/>
          <w:color w:val="1B3A5C"/>
          <w:sz w:val="18"/>
          <w:szCs w:val="18"/>
        </w:rPr>
        <w:t xml:space="preserve">TRANSITION APPLICATION</w:t>
      </w:r>
    </w:p>
    <w:p>
      <w:pPr>
        <w:spacing w:after="160" w:before="0"/>
      </w:pPr>
      <w:r>
        <w:rPr>
          <w:rFonts w:ascii="Arial" w:cs="Arial" w:eastAsia="Arial" w:hAnsi="Arial"/>
          <w:color w:val="4A5568"/>
          <w:sz w:val="20"/>
          <w:szCs w:val="20"/>
        </w:rPr>
        <w:t xml:space="preserve">Service Beyond Uniform is perhaps the most natural transition pathway in the library precisely because service was never a military concept — it was a human one that the military context made structural. When the structure is gone, the orientation remains. The question the transition reader faces is not whether to continue serving but where, at what scale, and in what form. Greenleaf's framework provides the test; the reader's honest application of it to their own history provides the answer.</w:t>
      </w:r>
    </w:p>
    <w:p>
      <w:pPr>
        <w:spacing w:after="0" w:before="100"/>
      </w:pPr>
    </w:p>
    <w:p>
      <w:pPr>
        <w:spacing w:after="120" w:before="320"/>
      </w:pPr>
      <w:r>
        <w:rPr>
          <w:rFonts w:ascii="Arial" w:cs="Arial" w:eastAsia="Arial" w:hAnsi="Arial"/>
          <w:b/>
          <w:bCs/>
          <w:color w:val="1B3A5C"/>
          <w:sz w:val="18"/>
          <w:szCs w:val="18"/>
        </w:rPr>
        <w:t xml:space="preserve">GATEWAY BOOKS</w:t>
      </w:r>
    </w:p>
    <w:p>
      <w:pPr>
        <w:spacing w:after="160" w:before="0"/>
      </w:pPr>
      <w:r>
        <w:rPr>
          <w:rFonts w:ascii="Arial" w:cs="Arial" w:eastAsia="Arial" w:hAnsi="Arial"/>
          <w:color w:val="4A5568"/>
          <w:sz w:val="20"/>
          <w:szCs w:val="20"/>
        </w:rPr>
        <w:t xml:space="preserve">Recommended entry points for readers new to this theme. Selected not by node tier but by accessibility and direct relevance to the primary reader.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40" w:before="0"/>
            </w:pPr>
            <w:r>
              <w:rPr>
                <w:rFonts w:ascii="Arial" w:cs="Arial" w:eastAsia="Arial" w:hAnsi="Arial"/>
                <w:b/>
                <w:bCs/>
                <w:color w:val="1B3A5C"/>
                <w:sz w:val="18"/>
                <w:szCs w:val="18"/>
              </w:rPr>
              <w:t xml:space="preserve">The Servant as Leader</w:t>
            </w:r>
          </w:p>
          <w:p>
            <w:pPr>
              <w:spacing w:after="0" w:before="0"/>
            </w:pPr>
            <w:r>
              <w:rPr>
                <w:rFonts w:ascii="Arial" w:cs="Arial" w:eastAsia="Arial" w:hAnsi="Arial"/>
                <w:color w:val="B8960C"/>
                <w:sz w:val="16"/>
                <w:szCs w:val="16"/>
              </w:rPr>
              <w:t xml:space="preserve">Robert Greenleaf</w:t>
            </w:r>
          </w:p>
        </w:tc>
        <w:tc>
          <w:tcPr>
            <w:tcW w:type="dxa" w:w="65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foundational text — the most direct and concentrated articulation of service as leadership identity in the library.</w:t>
            </w:r>
          </w:p>
        </w:tc>
      </w:tr>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40" w:before="0"/>
            </w:pPr>
            <w:r>
              <w:rPr>
                <w:rFonts w:ascii="Arial" w:cs="Arial" w:eastAsia="Arial" w:hAnsi="Arial"/>
                <w:b/>
                <w:bCs/>
                <w:color w:val="1B3A5C"/>
                <w:sz w:val="18"/>
                <w:szCs w:val="18"/>
              </w:rPr>
              <w:t xml:space="preserve">Leaders Eat Last</w:t>
            </w:r>
          </w:p>
          <w:p>
            <w:pPr>
              <w:spacing w:after="0" w:before="0"/>
            </w:pPr>
            <w:r>
              <w:rPr>
                <w:rFonts w:ascii="Arial" w:cs="Arial" w:eastAsia="Arial" w:hAnsi="Arial"/>
                <w:color w:val="B8960C"/>
                <w:sz w:val="16"/>
                <w:szCs w:val="16"/>
              </w:rPr>
              <w:t xml:space="preserve">Simon Sinek</w:t>
            </w:r>
          </w:p>
        </w:tc>
        <w:tc>
          <w:tcPr>
            <w:tcW w:type="dxa" w:w="65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biological and organizational extension — explains why servant leadership produces the results it does and what building it in civilian contexts requires.</w:t>
            </w:r>
          </w:p>
        </w:tc>
      </w:tr>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40" w:before="0"/>
            </w:pPr>
            <w:r>
              <w:rPr>
                <w:rFonts w:ascii="Arial" w:cs="Arial" w:eastAsia="Arial" w:hAnsi="Arial"/>
                <w:b/>
                <w:bCs/>
                <w:color w:val="1B3A5C"/>
                <w:sz w:val="18"/>
                <w:szCs w:val="18"/>
              </w:rPr>
              <w:t xml:space="preserve">Meditations</w:t>
            </w:r>
          </w:p>
          <w:p>
            <w:pPr>
              <w:spacing w:after="0" w:before="0"/>
            </w:pPr>
            <w:r>
              <w:rPr>
                <w:rFonts w:ascii="Arial" w:cs="Arial" w:eastAsia="Arial" w:hAnsi="Arial"/>
                <w:color w:val="B8960C"/>
                <w:sz w:val="16"/>
                <w:szCs w:val="16"/>
              </w:rPr>
              <w:t xml:space="preserve">Marcus Aurelius</w:t>
            </w:r>
          </w:p>
        </w:tc>
        <w:tc>
          <w:tcPr>
            <w:tcW w:type="dxa" w:w="65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ancient philosophical source — demonstrates that this orientation is older than any organization and more durable than any title.</w:t>
            </w:r>
          </w:p>
        </w:tc>
      </w:tr>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40" w:before="0"/>
            </w:pPr>
            <w:r>
              <w:rPr>
                <w:rFonts w:ascii="Arial" w:cs="Arial" w:eastAsia="Arial" w:hAnsi="Arial"/>
                <w:b/>
                <w:bCs/>
                <w:color w:val="1B3A5C"/>
                <w:sz w:val="18"/>
                <w:szCs w:val="18"/>
              </w:rPr>
              <w:t xml:space="preserve">Extreme Ownership</w:t>
            </w:r>
          </w:p>
          <w:p>
            <w:pPr>
              <w:spacing w:after="0" w:before="0"/>
            </w:pPr>
            <w:r>
              <w:rPr>
                <w:rFonts w:ascii="Arial" w:cs="Arial" w:eastAsia="Arial" w:hAnsi="Arial"/>
                <w:color w:val="B8960C"/>
                <w:sz w:val="16"/>
                <w:szCs w:val="16"/>
              </w:rPr>
              <w:t xml:space="preserve">Willink &amp; Babin</w:t>
            </w:r>
          </w:p>
        </w:tc>
        <w:tc>
          <w:tcPr>
            <w:tcW w:type="dxa" w:w="65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military expression — translates the service orientation into operational vocabulary for the military reader who already knows its practice.</w:t>
            </w:r>
          </w:p>
        </w:tc>
      </w:tr>
    </w:tbl>
    <w:p>
      <w:pPr>
        <w:spacing w:after="0" w:before="100"/>
      </w:pPr>
    </w:p>
    <w:p>
      <w:pPr>
        <w:spacing w:after="120" w:before="320"/>
      </w:pPr>
      <w:r>
        <w:rPr>
          <w:rFonts w:ascii="Arial" w:cs="Arial" w:eastAsia="Arial" w:hAnsi="Arial"/>
          <w:b/>
          <w:bCs/>
          <w:color w:val="1B3A5C"/>
          <w:sz w:val="18"/>
          <w:szCs w:val="18"/>
        </w:rPr>
        <w:t xml:space="preserve">THEME EVOLUTION NOTES</w:t>
      </w:r>
    </w:p>
    <w:p>
      <w:pPr>
        <w:spacing w:after="160" w:before="0"/>
      </w:pPr>
      <w:r>
        <w:rPr>
          <w:rFonts w:ascii="Arial" w:cs="Arial" w:eastAsia="Arial" w:hAnsi="Arial"/>
          <w:color w:val="4A5568"/>
          <w:sz w:val="20"/>
          <w:szCs w:val="20"/>
        </w:rPr>
        <w:t xml:space="preserve">Service is a moderately covered theme — 8 books engage with it substantially. The deepest gap is in organizational context: the library's treatment of service is strongest at the philosophical and leadership levels but thinner on the specific civilian sector contexts (nonprofit, public service, education, healthcare) where service orientation is most systematically expressed.</w:t>
      </w:r>
    </w:p>
    <w:p>
      <w:r>
        <w:br w:type="page"/>
      </w:r>
    </w:p>
    <w:p>
      <w:pPr>
        <w:spacing w:after="80" w:before="0"/>
      </w:pPr>
      <w:r>
        <w:rPr>
          <w:rFonts w:ascii="Arial" w:cs="Arial" w:eastAsia="Arial" w:hAnsi="Arial"/>
          <w:b/>
          <w:bCs/>
          <w:color w:val="1B3A5C"/>
          <w:sz w:val="52"/>
          <w:szCs w:val="52"/>
        </w:rPr>
        <w:t xml:space="preserve">TRUST</w:t>
      </w:r>
    </w:p>
    <w:p>
      <w:pPr>
        <w:spacing w:after="240" w:before="0"/>
      </w:pPr>
      <w:r>
        <w:rPr>
          <w:rFonts w:ascii="Arial" w:cs="Arial" w:eastAsia="Arial" w:hAnsi="Arial"/>
          <w:b/>
          <w:bCs/>
          <w:color w:val="B8960C"/>
          <w:sz w:val="24"/>
          <w:szCs w:val="24"/>
        </w:rPr>
        <w:t xml:space="preserve">What builds the trust that authority used to provide automatically?</w:t>
      </w:r>
    </w:p>
    <w:p>
      <w:pPr>
        <w:pBdr>
          <w:bottom w:val="single" w:color="B8960C" w:sz="4" w:space="1"/>
        </w:pBdr>
        <w:spacing w:after="300" w:before="100"/>
      </w:pPr>
    </w:p>
    <w:p>
      <w:pPr>
        <w:spacing w:after="120" w:before="320"/>
      </w:pPr>
      <w:r>
        <w:rPr>
          <w:rFonts w:ascii="Arial" w:cs="Arial" w:eastAsia="Arial" w:hAnsi="Arial"/>
          <w:b/>
          <w:bCs/>
          <w:color w:val="1B3A5C"/>
          <w:sz w:val="18"/>
          <w:szCs w:val="18"/>
        </w:rPr>
        <w:t xml:space="preserve">THEME DEFINITION</w:t>
      </w:r>
    </w:p>
    <w:p>
      <w:pPr>
        <w:spacing w:after="160" w:before="0"/>
      </w:pPr>
      <w:r>
        <w:rPr>
          <w:rFonts w:ascii="Arial" w:cs="Arial" w:eastAsia="Arial" w:hAnsi="Arial"/>
          <w:color w:val="4A5568"/>
          <w:sz w:val="20"/>
          <w:szCs w:val="20"/>
        </w:rPr>
        <w:t xml:space="preserve">Within this library, trust is the condition that authority used to create automatically — and no longer does. In a military command, trust between leaders and the led was underwritten by institutional structure: the rank system, the shared hardship, the common danger, and a culture that enforced mutual accountability across generations. In civilian organizations, none of those structural trust-builders are present by default. The trust that military leaders took for granted must, in civilian contexts, be built deliberately, piece by piece. The library's treatment of trust runs from the biological (Sinek), to the diagnostic (Lencioni), to the behavioral (Willink), to the psychological (Arbinger).</w:t>
      </w:r>
    </w:p>
    <w:p>
      <w:pPr>
        <w:spacing w:after="0" w:before="100"/>
      </w:pPr>
    </w:p>
    <w:p>
      <w:pPr>
        <w:spacing w:after="120" w:before="320"/>
      </w:pPr>
      <w:r>
        <w:rPr>
          <w:rFonts w:ascii="Arial" w:cs="Arial" w:eastAsia="Arial" w:hAnsi="Arial"/>
          <w:b/>
          <w:bCs/>
          <w:color w:val="1B3A5C"/>
          <w:sz w:val="18"/>
          <w:szCs w:val="18"/>
        </w:rPr>
        <w:t xml:space="preserve">THEME AT A GLANCE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Primary Books</w:t>
            </w:r>
          </w:p>
        </w:tc>
        <w:tc>
          <w:tcPr>
            <w:tcW w:type="dxa" w:w="71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4A5568"/>
                <w:sz w:val="18"/>
                <w:szCs w:val="18"/>
              </w:rPr>
              <w:t xml:space="preserve">The Five Dysfunctions of a Team · Lencioni  ·  Leaders Eat Last · Sinek  ·  Extreme Ownership · Willink &amp; Babin  ·  Leadership and Self-Deception · Arbinger  ·  The 7 Habits · Covey</w:t>
            </w:r>
          </w:p>
        </w:tc>
      </w:tr>
    </w:tbl>
    <w:p>
      <w:pPr>
        <w:spacing w:after="0" w:before="200"/>
      </w:pPr>
    </w:p>
    <w:p>
      <w:pPr>
        <w:spacing w:after="120" w:before="320"/>
      </w:pPr>
      <w:r>
        <w:rPr>
          <w:rFonts w:ascii="Arial" w:cs="Arial" w:eastAsia="Arial" w:hAnsi="Arial"/>
          <w:b/>
          <w:bCs/>
          <w:color w:val="1B3A5C"/>
          <w:sz w:val="18"/>
          <w:szCs w:val="18"/>
        </w:rPr>
        <w:t xml:space="preserve">WHERE THE AUTHORS CONVERGE</w:t>
      </w:r>
    </w:p>
    <w:p>
      <w:pPr>
        <w:spacing w:after="160" w:before="0"/>
      </w:pPr>
      <w:r>
        <w:rPr>
          <w:rFonts w:ascii="Arial" w:cs="Arial" w:eastAsia="Arial" w:hAnsi="Arial"/>
          <w:color w:val="4A5568"/>
          <w:sz w:val="20"/>
          <w:szCs w:val="20"/>
        </w:rPr>
        <w:t xml:space="preserve">The following convergences represent the specific points where books from different traditions, eras, or genres arrive at the same essential insight independently — the library's strongest evidence for what is genuinely true about this theme.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before="0"/>
            </w:pPr>
            <w:r>
              <w:rPr>
                <w:rFonts w:ascii="Arial" w:cs="Arial" w:eastAsia="Arial" w:hAnsi="Arial"/>
                <w:b/>
                <w:bCs/>
                <w:color w:val="1B3A5C"/>
                <w:sz w:val="17"/>
                <w:szCs w:val="17"/>
              </w:rPr>
              <w:t xml:space="preserve">Sinek (Leaders Eat Last) + Lencioni (Five Dysfunctions)</w:t>
            </w:r>
          </w:p>
          <w:p>
            <w:pPr>
              <w:spacing w:after="60" w:before="0"/>
            </w:pPr>
            <w:r>
              <w:rPr>
                <w:rFonts w:ascii="Arial" w:cs="Arial" w:eastAsia="Arial" w:hAnsi="Arial"/>
                <w:b/>
                <w:bCs/>
                <w:color w:val="1B3A5C"/>
                <w:sz w:val="17"/>
                <w:szCs w:val="17"/>
              </w:rPr>
              <w:t xml:space="preserve">[Foundation + Diagnostic]</w:t>
            </w:r>
          </w:p>
        </w:tc>
        <w:tc>
          <w:tcPr>
            <w:tcW w:type="dxa" w:w="73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Sinek explains why military teams largely bypass the trust-building work Lencioni prescribes, and Lencioni provides the map for what must be built when the structural conditions Sinek describes are absent. Sinek's neurochemical framework — the circle of safety as the biological architecture of trust — is the explanation for why high-functioning military units largely do not exhibit Lencioni's first dysfunction (absence of vulnerability-based trust). Those structural conditions (shared genuine risk, common hardship, institutional enforcement of mutual protection) are the trust-builders that civilian organizations rarely provide. Lencioni provides the diagnostic pyramid for what the leader must construct deliberately when Sinek's structural conditions are absent. Together, they produce the most complete framework available for the specific challenge of building a civilian team as a military leader.</w:t>
            </w:r>
          </w:p>
        </w:tc>
      </w:tr>
      <w:tr>
        <w:tc>
          <w:tcPr>
            <w:tcW w:type="dxa" w:w="20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before="0"/>
            </w:pPr>
            <w:r>
              <w:rPr>
                <w:rFonts w:ascii="Arial" w:cs="Arial" w:eastAsia="Arial" w:hAnsi="Arial"/>
                <w:b/>
                <w:bCs/>
                <w:color w:val="1B3A5C"/>
                <w:sz w:val="17"/>
                <w:szCs w:val="17"/>
              </w:rPr>
              <w:t xml:space="preserve">Willink &amp; Babin + Sinek (Leaders Eat Last)</w:t>
            </w:r>
          </w:p>
          <w:p>
            <w:pPr>
              <w:spacing w:after="60" w:before="0"/>
            </w:pPr>
            <w:r>
              <w:rPr>
                <w:rFonts w:ascii="Arial" w:cs="Arial" w:eastAsia="Arial" w:hAnsi="Arial"/>
                <w:b/>
                <w:bCs/>
                <w:color w:val="1B3A5C"/>
                <w:sz w:val="17"/>
                <w:szCs w:val="17"/>
              </w:rPr>
              <w:t xml:space="preserve">[Behavioral Convergence]</w:t>
            </w:r>
          </w:p>
        </w:tc>
        <w:tc>
          <w:tcPr>
            <w:tcW w:type="dxa" w:w="73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Willink's extreme ownership orientation — the leader who absorbs blame completely and distributes credit entirely — is, in Sinek's neurochemical framework, the specific behavior pattern that triggers the social chemicals of trust. Both arrive at the same observation: the leader who genuinely protects people from internal threats (political, reputational, emotional) creates the conditions under which genuine commitment and willing sacrifice become possible. Willink arrives at this through operational military experience; Sinek arrives at it through organizational biology. The convergence is both validating and practical: for the civilian leader who wants to build what the circle of safety produces, Willink's accountability orientation is the behavioral architecture Sinek's biology requires.</w:t>
            </w:r>
          </w:p>
        </w:tc>
      </w:tr>
      <w:tr>
        <w:tc>
          <w:tcPr>
            <w:tcW w:type="dxa" w:w="20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before="0"/>
            </w:pPr>
            <w:r>
              <w:rPr>
                <w:rFonts w:ascii="Arial" w:cs="Arial" w:eastAsia="Arial" w:hAnsi="Arial"/>
                <w:b/>
                <w:bCs/>
                <w:color w:val="1B3A5C"/>
                <w:sz w:val="17"/>
                <w:szCs w:val="17"/>
              </w:rPr>
              <w:t xml:space="preserve">Arbinger + Lencioni</w:t>
            </w:r>
          </w:p>
          <w:p>
            <w:pPr>
              <w:spacing w:after="60" w:before="0"/>
            </w:pPr>
            <w:r>
              <w:rPr>
                <w:rFonts w:ascii="Arial" w:cs="Arial" w:eastAsia="Arial" w:hAnsi="Arial"/>
                <w:b/>
                <w:bCs/>
                <w:color w:val="1B3A5C"/>
                <w:sz w:val="17"/>
                <w:szCs w:val="17"/>
              </w:rPr>
              <w:t xml:space="preserve">[Individual + Team Diagnostic]</w:t>
            </w:r>
          </w:p>
        </w:tc>
        <w:tc>
          <w:tcPr>
            <w:tcW w:type="dxa" w:w="73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Arbinger's in-the-box orientation and Lencioni's absence-of-trust dysfunction are convergent descriptions of the same failure mode at different levels of analysis. A team whose members are collectively in the box — each seeing others as objects to be managed rather than as persons with legitimate stakes in the team's outcome — will produce exactly the behaviors Lencioni identifies as the first dysfunction. Arbinger diagnoses why the trust dysfunction develops at the individual level (self-justifying orientation toward others). Lencioni describes what it looks like at the team level (the specific behavioral patterns of a team without genuine vulnerability-based trust). Together, they provide the most complete diagnosis available of how trust breaks down and what personal and organizational work is required to rebuild it.</w:t>
            </w:r>
          </w:p>
        </w:tc>
      </w:tr>
    </w:tbl>
    <w:p>
      <w:pPr>
        <w:spacing w:after="0" w:before="200"/>
      </w:pPr>
    </w:p>
    <w:p>
      <w:pPr>
        <w:spacing w:after="120" w:before="320"/>
      </w:pPr>
      <w:r>
        <w:rPr>
          <w:rFonts w:ascii="Arial" w:cs="Arial" w:eastAsia="Arial" w:hAnsi="Arial"/>
          <w:b/>
          <w:bCs/>
          <w:color w:val="1B3A5C"/>
          <w:sz w:val="18"/>
          <w:szCs w:val="18"/>
        </w:rPr>
        <w:t xml:space="preserve">WHERE THE AUTHORS DIVERGE</w:t>
      </w:r>
    </w:p>
    <w:p>
      <w:pPr>
        <w:spacing w:after="160" w:before="0"/>
      </w:pPr>
      <w:r>
        <w:rPr>
          <w:rFonts w:ascii="Arial" w:cs="Arial" w:eastAsia="Arial" w:hAnsi="Arial"/>
          <w:color w:val="4A5568"/>
          <w:sz w:val="20"/>
          <w:szCs w:val="20"/>
        </w:rPr>
        <w:t xml:space="preserve">The library is honest about genuine tensions — places where books approach the same theme from meaningfully different angles, or where an author's framework is stronger in some conditions than others. These tensions are productive rather than disqualifying.</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FF8E1" w:val="clear"/>
            <w:tcMar>
              <w:top w:type="dxa" w:w="100"/>
              <w:left w:type="dxa" w:w="140"/>
              <w:bottom w:type="dxa" w:w="100"/>
              <w:right w:type="dxa" w:w="140"/>
            </w:tcMar>
          </w:tcPr>
          <w:p>
            <w:r>
              <w:rPr>
                <w:rFonts w:ascii="Arial" w:cs="Arial" w:eastAsia="Arial" w:hAnsi="Arial"/>
                <w:b/>
                <w:bCs/>
                <w:color w:val="7B5900"/>
                <w:sz w:val="18"/>
                <w:szCs w:val="18"/>
              </w:rPr>
              <w:t xml:space="preserve">Structural vs. Behavioral</w:t>
            </w:r>
          </w:p>
        </w:tc>
        <w:tc>
          <w:tcPr>
            <w:tcW w:type="dxa" w:w="67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Sinek — trust is built by structural conditions the leader creates vs. Lencioni — trust requires specific behavioral vulnerability from every member. Sinek's framework suggests that trust is primarily the product of conditions the leader creates — the circle of safety, the protection of team members, the absorption of external threat. Lencioni's framework insists that trust also requires individual vulnerability from every team member — the willingness to admit mistakes, ask for help, and show weakness without fear of political consequence. Neither is sufficient alone. The leader who creates structural safety but does not model vulnerability will not generate the trust Lencioni describes. The leader who models vulnerability but has not created the structural conditions will find that vulnerability is used against them.</w:t>
            </w:r>
          </w:p>
        </w:tc>
      </w:tr>
      <w:tr>
        <w:tc>
          <w:tcPr>
            <w:tcW w:type="dxa" w:w="2600"/>
            <w:tcBorders>
              <w:top w:val="single" w:color="CBD5E0" w:sz="1"/>
              <w:left w:val="single" w:color="CBD5E0" w:sz="1"/>
              <w:bottom w:val="single" w:color="CBD5E0" w:sz="1"/>
              <w:right w:val="single" w:color="CBD5E0" w:sz="1"/>
            </w:tcBorders>
            <w:shd w:fill="FFF8E1" w:val="clear"/>
            <w:tcMar>
              <w:top w:type="dxa" w:w="100"/>
              <w:left w:type="dxa" w:w="140"/>
              <w:bottom w:type="dxa" w:w="100"/>
              <w:right w:type="dxa" w:w="140"/>
            </w:tcMar>
          </w:tcPr>
          <w:p>
            <w:r>
              <w:rPr>
                <w:rFonts w:ascii="Arial" w:cs="Arial" w:eastAsia="Arial" w:hAnsi="Arial"/>
                <w:b/>
                <w:bCs/>
                <w:color w:val="7B5900"/>
                <w:sz w:val="18"/>
                <w:szCs w:val="18"/>
              </w:rPr>
              <w:t xml:space="preserve">Military vs. Civilian Trust</w:t>
            </w:r>
          </w:p>
        </w:tc>
        <w:tc>
          <w:tcPr>
            <w:tcW w:type="dxa" w:w="67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Lencioni's vulnerability-based trust (largely absent in military culture) vs. Performance-based trust (the primary military model). The military trust model is performance-based: the confidence that the person beside you will perform their role under extreme pressure. Lencioni's trust is something different: the willingness to be vulnerable with teammates, to admit uncertainty and error without fear of political consequence. A military team can have high performance-based trust and very low vulnerability-based trust. The civilian leader who equates the two will systematically misdiagnose what is absent in civilian teams — and will bring corrective measures (accountability pressure, performance standards) that compound the problem rather than address it.</w:t>
            </w:r>
          </w:p>
        </w:tc>
      </w:tr>
    </w:tbl>
    <w:p>
      <w:pPr>
        <w:spacing w:after="0" w:before="200"/>
      </w:pPr>
    </w:p>
    <w:p>
      <w:pPr>
        <w:spacing w:after="120" w:before="320"/>
      </w:pPr>
      <w:r>
        <w:rPr>
          <w:rFonts w:ascii="Arial" w:cs="Arial" w:eastAsia="Arial" w:hAnsi="Arial"/>
          <w:b/>
          <w:bCs/>
          <w:color w:val="1B3A5C"/>
          <w:sz w:val="18"/>
          <w:szCs w:val="18"/>
        </w:rPr>
        <w:t xml:space="preserve">LEADERSHIP APPLICATION</w:t>
      </w:r>
    </w:p>
    <w:p>
      <w:pPr>
        <w:spacing w:after="160" w:before="0"/>
      </w:pPr>
      <w:r>
        <w:rPr>
          <w:rFonts w:ascii="Arial" w:cs="Arial" w:eastAsia="Arial" w:hAnsi="Arial"/>
          <w:color w:val="4A5568"/>
          <w:sz w:val="20"/>
          <w:szCs w:val="20"/>
        </w:rPr>
        <w:t xml:space="preserve">The transition reader's specific trust challenge is not building trust in general — they have spent a career doing that under demanding conditions. It is recognizing that the form of trust they know how to build (performance-based, forged under genuine shared risk) is different from the form most civilian teams need most urgently (vulnerability-based, built through consistent leader modeling of openness and safety). The knowledge of what a genuinely high-trust team feels like is the military leader's most valuable competitive advantage. The work is recognizing that the civilian path to that destination requires a different route.</w:t>
      </w:r>
    </w:p>
    <w:p>
      <w:pPr>
        <w:spacing w:after="0" w:before="100"/>
      </w:pPr>
    </w:p>
    <w:p>
      <w:pPr>
        <w:spacing w:after="120" w:before="320"/>
      </w:pPr>
      <w:r>
        <w:rPr>
          <w:rFonts w:ascii="Arial" w:cs="Arial" w:eastAsia="Arial" w:hAnsi="Arial"/>
          <w:b/>
          <w:bCs/>
          <w:color w:val="1B3A5C"/>
          <w:sz w:val="18"/>
          <w:szCs w:val="18"/>
        </w:rPr>
        <w:t xml:space="preserve">TRANSITION APPLICATION</w:t>
      </w:r>
    </w:p>
    <w:p>
      <w:pPr>
        <w:spacing w:after="160" w:before="0"/>
      </w:pPr>
      <w:r>
        <w:rPr>
          <w:rFonts w:ascii="Arial" w:cs="Arial" w:eastAsia="Arial" w:hAnsi="Arial"/>
          <w:color w:val="4A5568"/>
          <w:sz w:val="20"/>
          <w:szCs w:val="20"/>
        </w:rPr>
        <w:t xml:space="preserve">Military leaders enter civilian teams expecting trust to be built through demonstrated competence and accountability — and finding instead a set of conditions that require something prior: the creation of safety for others to be honest, uncertain, and imperfect without consequence. This is disorienting not because the military leader is deficient in character but because the institutional mechanisms that built trust in military settings (shared hardship, common danger, enforced mutual accountability) are absent in civilian contexts, and no substitute has been provided. Lencioni names what must be built. Sinek names why it was not needed before.</w:t>
      </w:r>
    </w:p>
    <w:p>
      <w:pPr>
        <w:spacing w:after="0" w:before="100"/>
      </w:pPr>
    </w:p>
    <w:p>
      <w:pPr>
        <w:spacing w:after="120" w:before="320"/>
      </w:pPr>
      <w:r>
        <w:rPr>
          <w:rFonts w:ascii="Arial" w:cs="Arial" w:eastAsia="Arial" w:hAnsi="Arial"/>
          <w:b/>
          <w:bCs/>
          <w:color w:val="1B3A5C"/>
          <w:sz w:val="18"/>
          <w:szCs w:val="18"/>
        </w:rPr>
        <w:t xml:space="preserve">GATEWAY BOOKS</w:t>
      </w:r>
    </w:p>
    <w:p>
      <w:pPr>
        <w:spacing w:after="160" w:before="0"/>
      </w:pPr>
      <w:r>
        <w:rPr>
          <w:rFonts w:ascii="Arial" w:cs="Arial" w:eastAsia="Arial" w:hAnsi="Arial"/>
          <w:color w:val="4A5568"/>
          <w:sz w:val="20"/>
          <w:szCs w:val="20"/>
        </w:rPr>
        <w:t xml:space="preserve">Recommended entry points for readers new to this theme. Selected not by node tier but by accessibility and direct relevance to the primary reader.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40" w:before="0"/>
            </w:pPr>
            <w:r>
              <w:rPr>
                <w:rFonts w:ascii="Arial" w:cs="Arial" w:eastAsia="Arial" w:hAnsi="Arial"/>
                <w:b/>
                <w:bCs/>
                <w:color w:val="1B3A5C"/>
                <w:sz w:val="18"/>
                <w:szCs w:val="18"/>
              </w:rPr>
              <w:t xml:space="preserve">The Five Dysfunctions of a Team</w:t>
            </w:r>
          </w:p>
          <w:p>
            <w:pPr>
              <w:spacing w:after="0" w:before="0"/>
            </w:pPr>
            <w:r>
              <w:rPr>
                <w:rFonts w:ascii="Arial" w:cs="Arial" w:eastAsia="Arial" w:hAnsi="Arial"/>
                <w:color w:val="B8960C"/>
                <w:sz w:val="16"/>
                <w:szCs w:val="16"/>
              </w:rPr>
              <w:t xml:space="preserve">Patrick Lencioni</w:t>
            </w:r>
          </w:p>
        </w:tc>
        <w:tc>
          <w:tcPr>
            <w:tcW w:type="dxa" w:w="65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essential diagnostic — names exactly what civilian teams are missing and provides the sequential path for building it.</w:t>
            </w:r>
          </w:p>
        </w:tc>
      </w:tr>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40" w:before="0"/>
            </w:pPr>
            <w:r>
              <w:rPr>
                <w:rFonts w:ascii="Arial" w:cs="Arial" w:eastAsia="Arial" w:hAnsi="Arial"/>
                <w:b/>
                <w:bCs/>
                <w:color w:val="1B3A5C"/>
                <w:sz w:val="18"/>
                <w:szCs w:val="18"/>
              </w:rPr>
              <w:t xml:space="preserve">Leaders Eat Last</w:t>
            </w:r>
          </w:p>
          <w:p>
            <w:pPr>
              <w:spacing w:after="0" w:before="0"/>
            </w:pPr>
            <w:r>
              <w:rPr>
                <w:rFonts w:ascii="Arial" w:cs="Arial" w:eastAsia="Arial" w:hAnsi="Arial"/>
                <w:color w:val="B8960C"/>
                <w:sz w:val="16"/>
                <w:szCs w:val="16"/>
              </w:rPr>
              <w:t xml:space="preserve">Simon Sinek</w:t>
            </w:r>
          </w:p>
        </w:tc>
        <w:tc>
          <w:tcPr>
            <w:tcW w:type="dxa" w:w="65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biological explanation — explains why military trust formed as it did and what the civilian equivalent requires to construct.</w:t>
            </w:r>
          </w:p>
        </w:tc>
      </w:tr>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40" w:before="0"/>
            </w:pPr>
            <w:r>
              <w:rPr>
                <w:rFonts w:ascii="Arial" w:cs="Arial" w:eastAsia="Arial" w:hAnsi="Arial"/>
                <w:b/>
                <w:bCs/>
                <w:color w:val="1B3A5C"/>
                <w:sz w:val="18"/>
                <w:szCs w:val="18"/>
              </w:rPr>
              <w:t xml:space="preserve">Extreme Ownership</w:t>
            </w:r>
          </w:p>
          <w:p>
            <w:pPr>
              <w:spacing w:after="0" w:before="0"/>
            </w:pPr>
            <w:r>
              <w:rPr>
                <w:rFonts w:ascii="Arial" w:cs="Arial" w:eastAsia="Arial" w:hAnsi="Arial"/>
                <w:color w:val="B8960C"/>
                <w:sz w:val="16"/>
                <w:szCs w:val="16"/>
              </w:rPr>
              <w:t xml:space="preserve">Willink &amp; Babin</w:t>
            </w:r>
          </w:p>
        </w:tc>
        <w:tc>
          <w:tcPr>
            <w:tcW w:type="dxa" w:w="65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behavioral architecture — describes the specific leader behaviors that build trust through accountability and protection of the team.</w:t>
            </w:r>
          </w:p>
        </w:tc>
      </w:tr>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40" w:before="0"/>
            </w:pPr>
            <w:r>
              <w:rPr>
                <w:rFonts w:ascii="Arial" w:cs="Arial" w:eastAsia="Arial" w:hAnsi="Arial"/>
                <w:b/>
                <w:bCs/>
                <w:color w:val="1B3A5C"/>
                <w:sz w:val="18"/>
                <w:szCs w:val="18"/>
              </w:rPr>
              <w:t xml:space="preserve">Leadership and Self-Deception</w:t>
            </w:r>
          </w:p>
          <w:p>
            <w:pPr>
              <w:spacing w:after="0" w:before="0"/>
            </w:pPr>
            <w:r>
              <w:rPr>
                <w:rFonts w:ascii="Arial" w:cs="Arial" w:eastAsia="Arial" w:hAnsi="Arial"/>
                <w:color w:val="B8960C"/>
                <w:sz w:val="16"/>
                <w:szCs w:val="16"/>
              </w:rPr>
              <w:t xml:space="preserve">The Arbinger Institute</w:t>
            </w:r>
          </w:p>
        </w:tc>
        <w:tc>
          <w:tcPr>
            <w:tcW w:type="dxa" w:w="65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individual prerequisite — the personal work that must precede any team-level trust-building effort.</w:t>
            </w:r>
          </w:p>
        </w:tc>
      </w:tr>
    </w:tbl>
    <w:p>
      <w:pPr>
        <w:spacing w:after="0" w:before="100"/>
      </w:pPr>
    </w:p>
    <w:p>
      <w:pPr>
        <w:spacing w:after="120" w:before="320"/>
      </w:pPr>
      <w:r>
        <w:rPr>
          <w:rFonts w:ascii="Arial" w:cs="Arial" w:eastAsia="Arial" w:hAnsi="Arial"/>
          <w:b/>
          <w:bCs/>
          <w:color w:val="1B3A5C"/>
          <w:sz w:val="18"/>
          <w:szCs w:val="18"/>
        </w:rPr>
        <w:t xml:space="preserve">THEME EVOLUTION NOTES</w:t>
      </w:r>
    </w:p>
    <w:p>
      <w:pPr>
        <w:spacing w:after="160" w:before="0"/>
      </w:pPr>
      <w:r>
        <w:rPr>
          <w:rFonts w:ascii="Arial" w:cs="Arial" w:eastAsia="Arial" w:hAnsi="Arial"/>
          <w:color w:val="4A5568"/>
          <w:sz w:val="20"/>
          <w:szCs w:val="20"/>
        </w:rPr>
        <w:t xml:space="preserve">Trust is a moderately developed theme — 7 books address it substantively. The library's treatment is strongest at the team and organizational levels. As the collection grows, texts addressing interpersonal trust repair and trust in cross-cultural civilian environments represent the most significant identified gaps.</w:t>
      </w:r>
    </w:p>
    <w:p>
      <w:r>
        <w:br w:type="page"/>
      </w:r>
    </w:p>
    <w:p>
      <w:pPr>
        <w:spacing w:after="80" w:before="0"/>
      </w:pPr>
      <w:r>
        <w:rPr>
          <w:rFonts w:ascii="Arial" w:cs="Arial" w:eastAsia="Arial" w:hAnsi="Arial"/>
          <w:b/>
          <w:bCs/>
          <w:color w:val="1B3A5C"/>
          <w:sz w:val="52"/>
          <w:szCs w:val="52"/>
        </w:rPr>
        <w:t xml:space="preserve">ACCOUNTABILITY</w:t>
      </w:r>
    </w:p>
    <w:p>
      <w:pPr>
        <w:spacing w:after="240" w:before="0"/>
      </w:pPr>
      <w:r>
        <w:rPr>
          <w:rFonts w:ascii="Arial" w:cs="Arial" w:eastAsia="Arial" w:hAnsi="Arial"/>
          <w:b/>
          <w:bCs/>
          <w:color w:val="B8960C"/>
          <w:sz w:val="24"/>
          <w:szCs w:val="24"/>
        </w:rPr>
        <w:t xml:space="preserve">Where does complete ownership of outcomes begin — and what prevents it?</w:t>
      </w:r>
    </w:p>
    <w:p>
      <w:pPr>
        <w:pBdr>
          <w:bottom w:val="single" w:color="B8960C" w:sz="4" w:space="1"/>
        </w:pBdr>
        <w:spacing w:after="300" w:before="100"/>
      </w:pPr>
    </w:p>
    <w:p>
      <w:pPr>
        <w:spacing w:after="120" w:before="320"/>
      </w:pPr>
      <w:r>
        <w:rPr>
          <w:rFonts w:ascii="Arial" w:cs="Arial" w:eastAsia="Arial" w:hAnsi="Arial"/>
          <w:b/>
          <w:bCs/>
          <w:color w:val="1B3A5C"/>
          <w:sz w:val="18"/>
          <w:szCs w:val="18"/>
        </w:rPr>
        <w:t xml:space="preserve">THEME DEFINITION</w:t>
      </w:r>
    </w:p>
    <w:p>
      <w:pPr>
        <w:spacing w:after="160" w:before="0"/>
      </w:pPr>
      <w:r>
        <w:rPr>
          <w:rFonts w:ascii="Arial" w:cs="Arial" w:eastAsia="Arial" w:hAnsi="Arial"/>
          <w:color w:val="4A5568"/>
          <w:sz w:val="20"/>
          <w:szCs w:val="20"/>
        </w:rPr>
        <w:t xml:space="preserve">Within this library, accountability is the deepest form of ownership: the refusal to locate the source of failure in the environment, the circumstances, or the behavior of others before asking honestly what the leader could have done differently. The library approaches accountability from four distinct angles: military (Willink — extreme ownership as a character orientation), organizational (Lencioni — the pyramid structure that makes peer accountability possible), interpersonal (the books on self-deception and trust), and psychological (Arbinger — the self-deception that prevents genuine accountability from taking root). The convergent insight: accountability is most effective when it is not a response to failure but a daily discipline.</w:t>
      </w:r>
    </w:p>
    <w:p>
      <w:pPr>
        <w:spacing w:after="0" w:before="100"/>
      </w:pPr>
    </w:p>
    <w:p>
      <w:pPr>
        <w:spacing w:after="120" w:before="320"/>
      </w:pPr>
      <w:r>
        <w:rPr>
          <w:rFonts w:ascii="Arial" w:cs="Arial" w:eastAsia="Arial" w:hAnsi="Arial"/>
          <w:b/>
          <w:bCs/>
          <w:color w:val="1B3A5C"/>
          <w:sz w:val="18"/>
          <w:szCs w:val="18"/>
        </w:rPr>
        <w:t xml:space="preserve">THEME AT A GLANCE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Primary Books</w:t>
            </w:r>
          </w:p>
        </w:tc>
        <w:tc>
          <w:tcPr>
            <w:tcW w:type="dxa" w:w="71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4A5568"/>
                <w:sz w:val="18"/>
                <w:szCs w:val="18"/>
              </w:rPr>
              <w:t xml:space="preserve">Extreme Ownership · Willink &amp; Babin  ·  The Five Dysfunctions · Lencioni  ·  Leadership and Self-Deception · Arbinger  ·  Good to Great · Collins  ·  The 7 Habits · Covey  ·  Meditations · Aurelius</w:t>
            </w:r>
          </w:p>
        </w:tc>
      </w:tr>
    </w:tbl>
    <w:p>
      <w:pPr>
        <w:spacing w:after="0" w:before="200"/>
      </w:pPr>
    </w:p>
    <w:p>
      <w:pPr>
        <w:spacing w:after="120" w:before="320"/>
      </w:pPr>
      <w:r>
        <w:rPr>
          <w:rFonts w:ascii="Arial" w:cs="Arial" w:eastAsia="Arial" w:hAnsi="Arial"/>
          <w:b/>
          <w:bCs/>
          <w:color w:val="1B3A5C"/>
          <w:sz w:val="18"/>
          <w:szCs w:val="18"/>
        </w:rPr>
        <w:t xml:space="preserve">WHERE THE AUTHORS CONVERGE</w:t>
      </w:r>
    </w:p>
    <w:p>
      <w:pPr>
        <w:spacing w:after="160" w:before="0"/>
      </w:pPr>
      <w:r>
        <w:rPr>
          <w:rFonts w:ascii="Arial" w:cs="Arial" w:eastAsia="Arial" w:hAnsi="Arial"/>
          <w:color w:val="4A5568"/>
          <w:sz w:val="20"/>
          <w:szCs w:val="20"/>
        </w:rPr>
        <w:t xml:space="preserve">The following convergences represent the specific points where books from different traditions, eras, or genres arrive at the same essential insight independently — the library's strongest evidence for what is genuinely true about this theme.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before="0"/>
            </w:pPr>
            <w:r>
              <w:rPr>
                <w:rFonts w:ascii="Arial" w:cs="Arial" w:eastAsia="Arial" w:hAnsi="Arial"/>
                <w:b/>
                <w:bCs/>
                <w:color w:val="1B3A5C"/>
                <w:sz w:val="17"/>
                <w:szCs w:val="17"/>
              </w:rPr>
              <w:t xml:space="preserve">Willink &amp; Babin + Collins (Good to Great)</w:t>
            </w:r>
          </w:p>
          <w:p>
            <w:pPr>
              <w:spacing w:after="60" w:before="0"/>
            </w:pPr>
            <w:r>
              <w:rPr>
                <w:rFonts w:ascii="Arial" w:cs="Arial" w:eastAsia="Arial" w:hAnsi="Arial"/>
                <w:b/>
                <w:bCs/>
                <w:color w:val="1B3A5C"/>
                <w:sz w:val="17"/>
                <w:szCs w:val="17"/>
              </w:rPr>
              <w:t xml:space="preserve">[Convergence: Military and Organizational Research]</w:t>
            </w:r>
          </w:p>
        </w:tc>
        <w:tc>
          <w:tcPr>
            <w:tcW w:type="dxa" w:w="73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Collins' finding about Level 5 Leaders — who looked in the mirror when things went wrong and out the window when things went right — is the systematic research validation of Willink's accountability philosophy, arrived at from an entirely different direction. Collins did not approach his study with an accountability thesis. He found the pattern across the most successful and sustained organizational transformations available in the public record. Willink built his philosophy from operational military experience with life-and-death stakes. What both found was identical: the leader who accepts complete personal accountability for failure and distributes credit for success to the team produces fundamentally different organizational outcomes than the leader who does the reverse. The convergence across such different methods is what gives the claim its weight.</w:t>
            </w:r>
          </w:p>
        </w:tc>
      </w:tr>
      <w:tr>
        <w:tc>
          <w:tcPr>
            <w:tcW w:type="dxa" w:w="20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before="0"/>
            </w:pPr>
            <w:r>
              <w:rPr>
                <w:rFonts w:ascii="Arial" w:cs="Arial" w:eastAsia="Arial" w:hAnsi="Arial"/>
                <w:b/>
                <w:bCs/>
                <w:color w:val="1B3A5C"/>
                <w:sz w:val="17"/>
                <w:szCs w:val="17"/>
              </w:rPr>
              <w:t xml:space="preserve">Arbinger + Holiday (Ego Is the Enemy)</w:t>
            </w:r>
          </w:p>
          <w:p>
            <w:pPr>
              <w:spacing w:after="60" w:before="0"/>
            </w:pPr>
            <w:r>
              <w:rPr>
                <w:rFonts w:ascii="Arial" w:cs="Arial" w:eastAsia="Arial" w:hAnsi="Arial"/>
                <w:b/>
                <w:bCs/>
                <w:color w:val="1B3A5C"/>
                <w:sz w:val="17"/>
                <w:szCs w:val="17"/>
              </w:rPr>
              <w:t xml:space="preserve">[Diagnostic Pair: Self-Deception and Ego]</w:t>
            </w:r>
          </w:p>
        </w:tc>
        <w:tc>
          <w:tcPr>
            <w:tcW w:type="dxa" w:w="73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library's most precise psychological diagnosis of what prevents genuine accountability. Arbinger's self-justifying box and Holiday's ego are two descriptions of the same mechanism: the leader whose self-image is so central to their functioning that an honest accounting of their own contribution to failure is not fully available to them. What Holiday addresses through Stoic philosophy — the ego that refuses to learn from loss because learning would implicate the self — Arbinger explains through organizational psychology — the box that distorts perception of others to protect the leader's self-justifying narrative. Together, they provide the most complete map of the internal obstacle to genuine accountability that the library offers.</w:t>
            </w:r>
          </w:p>
        </w:tc>
      </w:tr>
      <w:tr>
        <w:tc>
          <w:tcPr>
            <w:tcW w:type="dxa" w:w="20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before="0"/>
            </w:pPr>
            <w:r>
              <w:rPr>
                <w:rFonts w:ascii="Arial" w:cs="Arial" w:eastAsia="Arial" w:hAnsi="Arial"/>
                <w:b/>
                <w:bCs/>
                <w:color w:val="1B3A5C"/>
                <w:sz w:val="17"/>
                <w:szCs w:val="17"/>
              </w:rPr>
              <w:t xml:space="preserve">Lencioni + Willink &amp; Babin</w:t>
            </w:r>
          </w:p>
          <w:p>
            <w:pPr>
              <w:spacing w:after="60" w:before="0"/>
            </w:pPr>
            <w:r>
              <w:rPr>
                <w:rFonts w:ascii="Arial" w:cs="Arial" w:eastAsia="Arial" w:hAnsi="Arial"/>
                <w:b/>
                <w:bCs/>
                <w:color w:val="1B3A5C"/>
                <w:sz w:val="17"/>
                <w:szCs w:val="17"/>
              </w:rPr>
              <w:t xml:space="preserve">[Extension: Character and Structure]</w:t>
            </w:r>
          </w:p>
        </w:tc>
        <w:tc>
          <w:tcPr>
            <w:tcW w:type="dxa" w:w="73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Willink's extreme ownership philosophy and Lencioni's accountability layer of the pyramid are the same leadership commitment approached from different directions. Lencioni's insight is structural: peer accountability in a team is possible only when trust and productive conflict have already been established — it cannot be installed from the top down without the foundation beneath it. Willink's insight is characterological: the leader who owns everything in their environment is modeling the accountability orientation that makes the team's own accountability possible. The extension is sequential: Willink's extreme ownership is the leader's contribution to Lencioni's accountability layer; Lencioni's pyramid explains why it must be preceded by trust and honest conflict before it can hold. The military leader who arrives in a civilian team with Willink's accountability fully developed but finds it producing resentment rather than performance is encountering the trust deficit Lencioni diagnoses.</w:t>
            </w:r>
          </w:p>
        </w:tc>
      </w:tr>
    </w:tbl>
    <w:p>
      <w:pPr>
        <w:spacing w:after="0" w:before="200"/>
      </w:pPr>
    </w:p>
    <w:p>
      <w:pPr>
        <w:spacing w:after="120" w:before="320"/>
      </w:pPr>
      <w:r>
        <w:rPr>
          <w:rFonts w:ascii="Arial" w:cs="Arial" w:eastAsia="Arial" w:hAnsi="Arial"/>
          <w:b/>
          <w:bCs/>
          <w:color w:val="1B3A5C"/>
          <w:sz w:val="18"/>
          <w:szCs w:val="18"/>
        </w:rPr>
        <w:t xml:space="preserve">WHERE THE AUTHORS DIVERGE</w:t>
      </w:r>
    </w:p>
    <w:p>
      <w:pPr>
        <w:spacing w:after="160" w:before="0"/>
      </w:pPr>
      <w:r>
        <w:rPr>
          <w:rFonts w:ascii="Arial" w:cs="Arial" w:eastAsia="Arial" w:hAnsi="Arial"/>
          <w:color w:val="4A5568"/>
          <w:sz w:val="20"/>
          <w:szCs w:val="20"/>
        </w:rPr>
        <w:t xml:space="preserve">The library is honest about genuine tensions — places where books approach the same theme from meaningfully different angles, or where an author's framework is stronger in some conditions than others. These tensions are productive rather than disqualifying.</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FF8E1" w:val="clear"/>
            <w:tcMar>
              <w:top w:type="dxa" w:w="100"/>
              <w:left w:type="dxa" w:w="140"/>
              <w:bottom w:type="dxa" w:w="100"/>
              <w:right w:type="dxa" w:w="140"/>
            </w:tcMar>
          </w:tcPr>
          <w:p>
            <w:r>
              <w:rPr>
                <w:rFonts w:ascii="Arial" w:cs="Arial" w:eastAsia="Arial" w:hAnsi="Arial"/>
                <w:b/>
                <w:bCs/>
                <w:color w:val="7B5900"/>
                <w:sz w:val="18"/>
                <w:szCs w:val="18"/>
              </w:rPr>
              <w:t xml:space="preserve">Authority-Backed vs. Influence-Based</w:t>
            </w:r>
          </w:p>
        </w:tc>
        <w:tc>
          <w:tcPr>
            <w:tcW w:type="dxa" w:w="67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Extreme Ownership built around command authority vs. Civilian accountability without command structures. The most significant tension in the library's accountability treatment. Willink's philosophy was built inside a specific structural context: a military command where the leader's authority to own outcomes was backed by the institutional power to direct, relieve, and enforce. In civilian organizations, authority is often diffuse and accountability is negotiated rather than assigned. Willink acknowledges this gap but does not fully resolve it. The transition reader who applies extreme ownership in an environment where the authority structure does not support it will find the philosophy correct in principle but practically difficult — and sometimes personally costly. The accountability orientation is not wrong. The application strategy must change.</w:t>
            </w:r>
          </w:p>
        </w:tc>
      </w:tr>
      <w:tr>
        <w:tc>
          <w:tcPr>
            <w:tcW w:type="dxa" w:w="2600"/>
            <w:tcBorders>
              <w:top w:val="single" w:color="CBD5E0" w:sz="1"/>
              <w:left w:val="single" w:color="CBD5E0" w:sz="1"/>
              <w:bottom w:val="single" w:color="CBD5E0" w:sz="1"/>
              <w:right w:val="single" w:color="CBD5E0" w:sz="1"/>
            </w:tcBorders>
            <w:shd w:fill="FFF8E1" w:val="clear"/>
            <w:tcMar>
              <w:top w:type="dxa" w:w="100"/>
              <w:left w:type="dxa" w:w="140"/>
              <w:bottom w:type="dxa" w:w="100"/>
              <w:right w:type="dxa" w:w="140"/>
            </w:tcMar>
          </w:tcPr>
          <w:p>
            <w:r>
              <w:rPr>
                <w:rFonts w:ascii="Arial" w:cs="Arial" w:eastAsia="Arial" w:hAnsi="Arial"/>
                <w:b/>
                <w:bCs/>
                <w:color w:val="7B5900"/>
                <w:sz w:val="18"/>
                <w:szCs w:val="18"/>
              </w:rPr>
              <w:t xml:space="preserve">Personal Ownership vs. Systemic Honesty</w:t>
            </w:r>
          </w:p>
        </w:tc>
        <w:tc>
          <w:tcPr>
            <w:tcW w:type="dxa" w:w="67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Extreme Ownership — own everything vs. The acknowledged limit — not all failures are within the leader's influence. The library is honest about a real tension: extreme ownership as a discipline for excellence is not the same as accepting unlimited responsibility for institutional dysfunction. The leader who takes complete ownership of outcomes that genuinely belong to structural failures, resource constraints, or decisions made well above their authority level is not practicing accountability — they are absorbing responsibility that does not belong to them. Willink gestures toward this distinction. The transition reader needs to hold both: the discipline of asking the internal accountability question first, rigorously, before the external explanation is accepted — and the judgment to know when the honest answer is systemic rather than personal.</w:t>
            </w:r>
          </w:p>
        </w:tc>
      </w:tr>
    </w:tbl>
    <w:p>
      <w:pPr>
        <w:spacing w:after="0" w:before="200"/>
      </w:pPr>
    </w:p>
    <w:p>
      <w:pPr>
        <w:spacing w:after="120" w:before="320"/>
      </w:pPr>
      <w:r>
        <w:rPr>
          <w:rFonts w:ascii="Arial" w:cs="Arial" w:eastAsia="Arial" w:hAnsi="Arial"/>
          <w:b/>
          <w:bCs/>
          <w:color w:val="1B3A5C"/>
          <w:sz w:val="18"/>
          <w:szCs w:val="18"/>
        </w:rPr>
        <w:t xml:space="preserve">LEADERSHIP APPLICATION</w:t>
      </w:r>
    </w:p>
    <w:p>
      <w:pPr>
        <w:spacing w:after="160" w:before="0"/>
      </w:pPr>
      <w:r>
        <w:rPr>
          <w:rFonts w:ascii="Arial" w:cs="Arial" w:eastAsia="Arial" w:hAnsi="Arial"/>
          <w:color w:val="4A5568"/>
          <w:sz w:val="20"/>
          <w:szCs w:val="20"/>
        </w:rPr>
        <w:t xml:space="preserve">The military leader's accountability orientation — developed under conditions where owning outcomes completely was backed by the authority to change them — is one of the most genuinely transferable leadership assets available. The civilian world does not produce this orientation structurally. What it requires is the translation work of applying an extreme-ownership philosophy in environments where the authority structure differs without sacrificing the philosophy's core commitment. That translation is difficult, occasionally frustrating, and ultimately the source of the military leader's most distinctive civilian competitive advantage.</w:t>
      </w:r>
    </w:p>
    <w:p>
      <w:pPr>
        <w:spacing w:after="0" w:before="100"/>
      </w:pPr>
    </w:p>
    <w:p>
      <w:pPr>
        <w:spacing w:after="120" w:before="320"/>
      </w:pPr>
      <w:r>
        <w:rPr>
          <w:rFonts w:ascii="Arial" w:cs="Arial" w:eastAsia="Arial" w:hAnsi="Arial"/>
          <w:b/>
          <w:bCs/>
          <w:color w:val="1B3A5C"/>
          <w:sz w:val="18"/>
          <w:szCs w:val="18"/>
        </w:rPr>
        <w:t xml:space="preserve">TRANSITION APPLICATION</w:t>
      </w:r>
    </w:p>
    <w:p>
      <w:pPr>
        <w:spacing w:after="160" w:before="0"/>
      </w:pPr>
      <w:r>
        <w:rPr>
          <w:rFonts w:ascii="Arial" w:cs="Arial" w:eastAsia="Arial" w:hAnsi="Arial"/>
          <w:color w:val="4A5568"/>
          <w:sz w:val="20"/>
          <w:szCs w:val="20"/>
        </w:rPr>
        <w:t xml:space="preserve">Accountability, more than any other theme in this library, is where military leaders find the civilian world most disorienting. Not because civilian organizations lack accountability — they have their own forms of it — but because the accountability culture of civilian organizations is so different from the military model that the practices the transition reader considers foundational (clear standards, direct performance feedback, complete ownership of outcomes) are often absent, inconsistently applied, or actively resisted. Lencioni's framework explains why. The practical implication is that the military leader must often build the conditions for accountability before exercising it — a sequence the military institution never required.</w:t>
      </w:r>
    </w:p>
    <w:p>
      <w:pPr>
        <w:spacing w:after="0" w:before="100"/>
      </w:pPr>
    </w:p>
    <w:p>
      <w:pPr>
        <w:spacing w:after="120" w:before="320"/>
      </w:pPr>
      <w:r>
        <w:rPr>
          <w:rFonts w:ascii="Arial" w:cs="Arial" w:eastAsia="Arial" w:hAnsi="Arial"/>
          <w:b/>
          <w:bCs/>
          <w:color w:val="1B3A5C"/>
          <w:sz w:val="18"/>
          <w:szCs w:val="18"/>
        </w:rPr>
        <w:t xml:space="preserve">GATEWAY BOOKS</w:t>
      </w:r>
    </w:p>
    <w:p>
      <w:pPr>
        <w:spacing w:after="160" w:before="0"/>
      </w:pPr>
      <w:r>
        <w:rPr>
          <w:rFonts w:ascii="Arial" w:cs="Arial" w:eastAsia="Arial" w:hAnsi="Arial"/>
          <w:color w:val="4A5568"/>
          <w:sz w:val="20"/>
          <w:szCs w:val="20"/>
        </w:rPr>
        <w:t xml:space="preserve">Recommended entry points for readers new to this theme. Selected not by node tier but by accessibility and direct relevance to the primary reader.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40" w:before="0"/>
            </w:pPr>
            <w:r>
              <w:rPr>
                <w:rFonts w:ascii="Arial" w:cs="Arial" w:eastAsia="Arial" w:hAnsi="Arial"/>
                <w:b/>
                <w:bCs/>
                <w:color w:val="1B3A5C"/>
                <w:sz w:val="18"/>
                <w:szCs w:val="18"/>
              </w:rPr>
              <w:t xml:space="preserve">Extreme Ownership</w:t>
            </w:r>
          </w:p>
          <w:p>
            <w:pPr>
              <w:spacing w:after="0" w:before="0"/>
            </w:pPr>
            <w:r>
              <w:rPr>
                <w:rFonts w:ascii="Arial" w:cs="Arial" w:eastAsia="Arial" w:hAnsi="Arial"/>
                <w:color w:val="B8960C"/>
                <w:sz w:val="16"/>
                <w:szCs w:val="16"/>
              </w:rPr>
              <w:t xml:space="preserve">Willink &amp; Babin</w:t>
            </w:r>
          </w:p>
        </w:tc>
        <w:tc>
          <w:tcPr>
            <w:tcW w:type="dxa" w:w="65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most direct and credible military expression — establishes the philosophy with enough operational authenticity to be trusted.</w:t>
            </w:r>
          </w:p>
        </w:tc>
      </w:tr>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40" w:before="0"/>
            </w:pPr>
            <w:r>
              <w:rPr>
                <w:rFonts w:ascii="Arial" w:cs="Arial" w:eastAsia="Arial" w:hAnsi="Arial"/>
                <w:b/>
                <w:bCs/>
                <w:color w:val="1B3A5C"/>
                <w:sz w:val="18"/>
                <w:szCs w:val="18"/>
              </w:rPr>
              <w:t xml:space="preserve">The Five Dysfunctions</w:t>
            </w:r>
          </w:p>
          <w:p>
            <w:pPr>
              <w:spacing w:after="0" w:before="0"/>
            </w:pPr>
            <w:r>
              <w:rPr>
                <w:rFonts w:ascii="Arial" w:cs="Arial" w:eastAsia="Arial" w:hAnsi="Arial"/>
                <w:color w:val="B8960C"/>
                <w:sz w:val="16"/>
                <w:szCs w:val="16"/>
              </w:rPr>
              <w:t xml:space="preserve">Patrick Lencioni</w:t>
            </w:r>
          </w:p>
        </w:tc>
        <w:tc>
          <w:tcPr>
            <w:tcW w:type="dxa" w:w="65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organizational structure — explains why accountability requires trust and conflict to precede it, and what happens when it doesn't.</w:t>
            </w:r>
          </w:p>
        </w:tc>
      </w:tr>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40" w:before="0"/>
            </w:pPr>
            <w:r>
              <w:rPr>
                <w:rFonts w:ascii="Arial" w:cs="Arial" w:eastAsia="Arial" w:hAnsi="Arial"/>
                <w:b/>
                <w:bCs/>
                <w:color w:val="1B3A5C"/>
                <w:sz w:val="18"/>
                <w:szCs w:val="18"/>
              </w:rPr>
              <w:t xml:space="preserve">Leadership and Self-Deception</w:t>
            </w:r>
          </w:p>
          <w:p>
            <w:pPr>
              <w:spacing w:after="0" w:before="0"/>
            </w:pPr>
            <w:r>
              <w:rPr>
                <w:rFonts w:ascii="Arial" w:cs="Arial" w:eastAsia="Arial" w:hAnsi="Arial"/>
                <w:color w:val="B8960C"/>
                <w:sz w:val="16"/>
                <w:szCs w:val="16"/>
              </w:rPr>
              <w:t xml:space="preserve">The Arbinger Institute</w:t>
            </w:r>
          </w:p>
        </w:tc>
        <w:tc>
          <w:tcPr>
            <w:tcW w:type="dxa" w:w="65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psychological prerequisite — examines the internal mechanism that prevents genuine accountability even from well-intentioned leaders.</w:t>
            </w:r>
          </w:p>
        </w:tc>
      </w:tr>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40" w:before="0"/>
            </w:pPr>
            <w:r>
              <w:rPr>
                <w:rFonts w:ascii="Arial" w:cs="Arial" w:eastAsia="Arial" w:hAnsi="Arial"/>
                <w:b/>
                <w:bCs/>
                <w:color w:val="1B3A5C"/>
                <w:sz w:val="18"/>
                <w:szCs w:val="18"/>
              </w:rPr>
              <w:t xml:space="preserve">Good to Great</w:t>
            </w:r>
          </w:p>
          <w:p>
            <w:pPr>
              <w:spacing w:after="0" w:before="0"/>
            </w:pPr>
            <w:r>
              <w:rPr>
                <w:rFonts w:ascii="Arial" w:cs="Arial" w:eastAsia="Arial" w:hAnsi="Arial"/>
                <w:color w:val="B8960C"/>
                <w:sz w:val="16"/>
                <w:szCs w:val="16"/>
              </w:rPr>
              <w:t xml:space="preserve">Jim Collins</w:t>
            </w:r>
          </w:p>
        </w:tc>
        <w:tc>
          <w:tcPr>
            <w:tcW w:type="dxa" w:w="65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research validation — provides civilian-credible evidence that the accountability orientation is the common factor in the most sustained organizational excellence available.</w:t>
            </w:r>
          </w:p>
        </w:tc>
      </w:tr>
    </w:tbl>
    <w:p>
      <w:pPr>
        <w:spacing w:after="0" w:before="100"/>
      </w:pPr>
    </w:p>
    <w:p>
      <w:pPr>
        <w:spacing w:after="120" w:before="320"/>
      </w:pPr>
      <w:r>
        <w:rPr>
          <w:rFonts w:ascii="Arial" w:cs="Arial" w:eastAsia="Arial" w:hAnsi="Arial"/>
          <w:b/>
          <w:bCs/>
          <w:color w:val="1B3A5C"/>
          <w:sz w:val="18"/>
          <w:szCs w:val="18"/>
        </w:rPr>
        <w:t xml:space="preserve">THEME EVOLUTION NOTES</w:t>
      </w:r>
    </w:p>
    <w:p>
      <w:pPr>
        <w:spacing w:after="160" w:before="0"/>
      </w:pPr>
      <w:r>
        <w:rPr>
          <w:rFonts w:ascii="Arial" w:cs="Arial" w:eastAsia="Arial" w:hAnsi="Arial"/>
          <w:color w:val="4A5568"/>
          <w:sz w:val="20"/>
          <w:szCs w:val="20"/>
        </w:rPr>
        <w:t xml:space="preserve">Accountability is one of the most densely covered themes in the library — 12 books engage with it. The treatment is richest at the individual and team levels. As the library grows, texts addressing systemic and organizational accountability (boards, governance, institutional failure) represent identified gaps in the current coverage.</w:t>
      </w:r>
    </w:p>
    <w:p>
      <w:r>
        <w:br w:type="page"/>
      </w:r>
    </w:p>
    <w:p>
      <w:pPr>
        <w:spacing w:after="80" w:before="0"/>
      </w:pPr>
      <w:r>
        <w:rPr>
          <w:rFonts w:ascii="Arial" w:cs="Arial" w:eastAsia="Arial" w:hAnsi="Arial"/>
          <w:b/>
          <w:bCs/>
          <w:color w:val="1B3A5C"/>
          <w:sz w:val="52"/>
          <w:szCs w:val="52"/>
        </w:rPr>
        <w:t xml:space="preserve">RESILIENCE</w:t>
      </w:r>
    </w:p>
    <w:p>
      <w:pPr>
        <w:spacing w:after="240" w:before="0"/>
      </w:pPr>
      <w:r>
        <w:rPr>
          <w:rFonts w:ascii="Arial" w:cs="Arial" w:eastAsia="Arial" w:hAnsi="Arial"/>
          <w:b/>
          <w:bCs/>
          <w:color w:val="B8960C"/>
          <w:sz w:val="24"/>
          <w:szCs w:val="24"/>
        </w:rPr>
        <w:t xml:space="preserve">What framework makes adversity a condition of growth rather than an interruption of it?</w:t>
      </w:r>
    </w:p>
    <w:p>
      <w:pPr>
        <w:pBdr>
          <w:bottom w:val="single" w:color="B8960C" w:sz="4" w:space="1"/>
        </w:pBdr>
        <w:spacing w:after="300" w:before="100"/>
      </w:pPr>
    </w:p>
    <w:p>
      <w:pPr>
        <w:spacing w:after="120" w:before="320"/>
      </w:pPr>
      <w:r>
        <w:rPr>
          <w:rFonts w:ascii="Arial" w:cs="Arial" w:eastAsia="Arial" w:hAnsi="Arial"/>
          <w:b/>
          <w:bCs/>
          <w:color w:val="1B3A5C"/>
          <w:sz w:val="18"/>
          <w:szCs w:val="18"/>
        </w:rPr>
        <w:t xml:space="preserve">THEME DEFINITION</w:t>
      </w:r>
    </w:p>
    <w:p>
      <w:pPr>
        <w:spacing w:after="160" w:before="0"/>
      </w:pPr>
      <w:r>
        <w:rPr>
          <w:rFonts w:ascii="Arial" w:cs="Arial" w:eastAsia="Arial" w:hAnsi="Arial"/>
          <w:color w:val="4A5568"/>
          <w:sz w:val="20"/>
          <w:szCs w:val="20"/>
        </w:rPr>
        <w:t xml:space="preserve">Within this library, resilience is not the popular-psychology version of bouncing back. It is the Stoic and existential understanding that suffering, obstacle, and adversity are the conditions for growth — not interruptions of it — when the leader has a framework for understanding what adversity is for. The library's treatment of resilience runs from the existential extreme (Frankl — concentration camp survival data) to the philosophical daily practice (Aurelius — private Stoic discipline) to the modern synthesis (Holiday — the three disciplines of perception, action, and will) to the cognitive framework (Dweck — growth mindset as the learnable disposition that makes the Stoic claim applicable). The convergent insight: resilient leaders do not avoid adversity. They have a framework for engaging it that preserves character and orientation rather than consuming them.</w:t>
      </w:r>
    </w:p>
    <w:p>
      <w:pPr>
        <w:spacing w:after="0" w:before="100"/>
      </w:pPr>
    </w:p>
    <w:p>
      <w:pPr>
        <w:spacing w:after="120" w:before="320"/>
      </w:pPr>
      <w:r>
        <w:rPr>
          <w:rFonts w:ascii="Arial" w:cs="Arial" w:eastAsia="Arial" w:hAnsi="Arial"/>
          <w:b/>
          <w:bCs/>
          <w:color w:val="1B3A5C"/>
          <w:sz w:val="18"/>
          <w:szCs w:val="18"/>
        </w:rPr>
        <w:t xml:space="preserve">THEME AT A GLANCE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Primary Books</w:t>
            </w:r>
          </w:p>
        </w:tc>
        <w:tc>
          <w:tcPr>
            <w:tcW w:type="dxa" w:w="71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4A5568"/>
                <w:sz w:val="18"/>
                <w:szCs w:val="18"/>
              </w:rPr>
              <w:t xml:space="preserve">Man's Search for Meaning · Frankl  ·  The Obstacle Is the Way · Holiday  ·  Meditations · Aurelius  ·  Good to Great · Collins (Stockdale Paradox)  ·  The 7 Habits · Covey</w:t>
            </w:r>
          </w:p>
        </w:tc>
      </w:tr>
    </w:tbl>
    <w:p>
      <w:pPr>
        <w:spacing w:after="0" w:before="200"/>
      </w:pPr>
    </w:p>
    <w:p>
      <w:pPr>
        <w:spacing w:after="120" w:before="320"/>
      </w:pPr>
      <w:r>
        <w:rPr>
          <w:rFonts w:ascii="Arial" w:cs="Arial" w:eastAsia="Arial" w:hAnsi="Arial"/>
          <w:b/>
          <w:bCs/>
          <w:color w:val="1B3A5C"/>
          <w:sz w:val="18"/>
          <w:szCs w:val="18"/>
        </w:rPr>
        <w:t xml:space="preserve">WHERE THE AUTHORS CONVERGE</w:t>
      </w:r>
    </w:p>
    <w:p>
      <w:pPr>
        <w:spacing w:after="160" w:before="0"/>
      </w:pPr>
      <w:r>
        <w:rPr>
          <w:rFonts w:ascii="Arial" w:cs="Arial" w:eastAsia="Arial" w:hAnsi="Arial"/>
          <w:color w:val="4A5568"/>
          <w:sz w:val="20"/>
          <w:szCs w:val="20"/>
        </w:rPr>
        <w:t xml:space="preserve">The following convergences represent the specific points where books from different traditions, eras, or genres arrive at the same essential insight independently — the library's strongest evidence for what is genuinely true about this theme.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before="0"/>
            </w:pPr>
            <w:r>
              <w:rPr>
                <w:rFonts w:ascii="Arial" w:cs="Arial" w:eastAsia="Arial" w:hAnsi="Arial"/>
                <w:b/>
                <w:bCs/>
                <w:color w:val="1B3A5C"/>
                <w:sz w:val="17"/>
                <w:szCs w:val="17"/>
              </w:rPr>
              <w:t xml:space="preserve">Frankl + Aurelius + Holiday</w:t>
            </w:r>
          </w:p>
          <w:p>
            <w:pPr>
              <w:spacing w:after="60" w:before="0"/>
            </w:pPr>
            <w:r>
              <w:rPr>
                <w:rFonts w:ascii="Arial" w:cs="Arial" w:eastAsia="Arial" w:hAnsi="Arial"/>
                <w:b/>
                <w:bCs/>
                <w:color w:val="1B3A5C"/>
                <w:sz w:val="17"/>
                <w:szCs w:val="17"/>
              </w:rPr>
              <w:t xml:space="preserve">[Stoic-Existential Cluster]</w:t>
            </w:r>
          </w:p>
        </w:tc>
        <w:tc>
          <w:tcPr>
            <w:tcW w:type="dxa" w:w="73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library's most coherent intellectual cluster, and the most specifically relevant to military transition. All three arrive at the same essential architecture for resilience: the perception discipline (seeing circumstances accurately, without the distortion of fear or wishful thinking), the action discipline (persistent engagement with what is actually in front of the leader rather than what they wish were there), and the will discipline (the internal reserve that accepts what cannot be changed while maintaining orientation and character). Frankl arrives at this from concentration camp survival data. Aurelius arrives at it from private Stoic practice as emperor. Holiday synthesizes both into a modern framework. What the three together reveal is that the three disciplines are not a technique — they are a complete philosophy for engaging with circumstances one did not choose and cannot escape.</w:t>
            </w:r>
          </w:p>
        </w:tc>
      </w:tr>
      <w:tr>
        <w:tc>
          <w:tcPr>
            <w:tcW w:type="dxa" w:w="20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before="0"/>
            </w:pPr>
            <w:r>
              <w:rPr>
                <w:rFonts w:ascii="Arial" w:cs="Arial" w:eastAsia="Arial" w:hAnsi="Arial"/>
                <w:b/>
                <w:bCs/>
                <w:color w:val="1B3A5C"/>
                <w:sz w:val="17"/>
                <w:szCs w:val="17"/>
              </w:rPr>
              <w:t xml:space="preserve">Collins (Good to Great) + Frankl + Aurelius</w:t>
            </w:r>
          </w:p>
          <w:p>
            <w:pPr>
              <w:spacing w:after="60" w:before="0"/>
            </w:pPr>
            <w:r>
              <w:rPr>
                <w:rFonts w:ascii="Arial" w:cs="Arial" w:eastAsia="Arial" w:hAnsi="Arial"/>
                <w:b/>
                <w:bCs/>
                <w:color w:val="1B3A5C"/>
                <w:sz w:val="17"/>
                <w:szCs w:val="17"/>
              </w:rPr>
              <w:t xml:space="preserve">[Empirical Validation]</w:t>
            </w:r>
          </w:p>
        </w:tc>
        <w:tc>
          <w:tcPr>
            <w:tcW w:type="dxa" w:w="73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Stockdale Paradox — Collins' most important finding for the resilience theme — is the organizational research validation of the Stoic-existential claim. Admiral Stockdale survived years of imprisonment in Hanoi as the most senior POW in the system. He survived, he later reflected, because of Epictetus's philosophy — specifically the Stoic discipline of accepting what cannot be changed while maintaining conviction that the challenge will ultimately be navigated. Collins found the same paradox operating in the most resilient organizational leaders: unflinching honesty about current reality combined with absolute faith in eventual outcome. Frankl observed the same pattern in concentration camp survivors. The convergence across such different contexts — organizational research, military captivity, Holocaust survival — is the strongest validation of a resilience claim available in any library.</w:t>
            </w:r>
          </w:p>
        </w:tc>
      </w:tr>
      <w:tr>
        <w:tc>
          <w:tcPr>
            <w:tcW w:type="dxa" w:w="20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before="0"/>
            </w:pPr>
            <w:r>
              <w:rPr>
                <w:rFonts w:ascii="Arial" w:cs="Arial" w:eastAsia="Arial" w:hAnsi="Arial"/>
                <w:b/>
                <w:bCs/>
                <w:color w:val="1B3A5C"/>
                <w:sz w:val="17"/>
                <w:szCs w:val="17"/>
              </w:rPr>
              <w:t xml:space="preserve">Holiday (Obstacle Is the Way) + Willink &amp; Babin</w:t>
            </w:r>
          </w:p>
          <w:p>
            <w:pPr>
              <w:spacing w:after="60" w:before="0"/>
            </w:pPr>
            <w:r>
              <w:rPr>
                <w:rFonts w:ascii="Arial" w:cs="Arial" w:eastAsia="Arial" w:hAnsi="Arial"/>
                <w:b/>
                <w:bCs/>
                <w:color w:val="1B3A5C"/>
                <w:sz w:val="17"/>
                <w:szCs w:val="17"/>
              </w:rPr>
              <w:t xml:space="preserve">[Tradition Bridge: Philosophy and Operations]</w:t>
            </w:r>
          </w:p>
        </w:tc>
        <w:tc>
          <w:tcPr>
            <w:tcW w:type="dxa" w:w="73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Willink and Babin arrived at Stoic conclusions about adversity through operational military experience rather than philosophical reading. Their core claims — that the leader owns every outcome, that obstacles are problems to be solved rather than reasons to stop, that character under pressure is the non-negotiable foundation of everything else — are the military tradition's expression of exactly the disciplines Holiday describes. The bridge crosses from ancient Greco-Roman philosophy to modern SEAL team combat operations and arrives in the same place: the leader who brings disciplined perception, persistent action, and unbreakable will to difficult circumstances is the leader whose team survives and whose mission succeeds. For the military reader, Extreme Ownership is the translation of the Stoic framework into operational language they already know is true.</w:t>
            </w:r>
          </w:p>
        </w:tc>
      </w:tr>
    </w:tbl>
    <w:p>
      <w:pPr>
        <w:spacing w:after="0" w:before="200"/>
      </w:pPr>
    </w:p>
    <w:p>
      <w:pPr>
        <w:spacing w:after="120" w:before="320"/>
      </w:pPr>
      <w:r>
        <w:rPr>
          <w:rFonts w:ascii="Arial" w:cs="Arial" w:eastAsia="Arial" w:hAnsi="Arial"/>
          <w:b/>
          <w:bCs/>
          <w:color w:val="1B3A5C"/>
          <w:sz w:val="18"/>
          <w:szCs w:val="18"/>
        </w:rPr>
        <w:t xml:space="preserve">WHERE THE AUTHORS DIVERGE</w:t>
      </w:r>
    </w:p>
    <w:p>
      <w:pPr>
        <w:spacing w:after="160" w:before="0"/>
      </w:pPr>
      <w:r>
        <w:rPr>
          <w:rFonts w:ascii="Arial" w:cs="Arial" w:eastAsia="Arial" w:hAnsi="Arial"/>
          <w:color w:val="4A5568"/>
          <w:sz w:val="20"/>
          <w:szCs w:val="20"/>
        </w:rPr>
        <w:t xml:space="preserve">The library is honest about genuine tensions — places where books approach the same theme from meaningfully different angles, or where an author's framework is stronger in some conditions than others. These tensions are productive rather than disqualifying.</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FF8E1" w:val="clear"/>
            <w:tcMar>
              <w:top w:type="dxa" w:w="100"/>
              <w:left w:type="dxa" w:w="140"/>
              <w:bottom w:type="dxa" w:w="100"/>
              <w:right w:type="dxa" w:w="140"/>
            </w:tcMar>
          </w:tcPr>
          <w:p>
            <w:r>
              <w:rPr>
                <w:rFonts w:ascii="Arial" w:cs="Arial" w:eastAsia="Arial" w:hAnsi="Arial"/>
                <w:b/>
                <w:bCs/>
                <w:color w:val="7B5900"/>
                <w:sz w:val="18"/>
                <w:szCs w:val="18"/>
              </w:rPr>
              <w:t xml:space="preserve">Framework vs. Its Limits</w:t>
            </w:r>
          </w:p>
        </w:tc>
        <w:tc>
          <w:tcPr>
            <w:tcW w:type="dxa" w:w="67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Holiday, Frankl — adversity can always be engaged with the three disciplines vs. The acknowledged limit — some adversity produces damage regardless. The Stoic and existential tradition produces a framework that is genuinely powerful and extensively evidenced. It also produces, when read uncritically, a claim that all adversity is ultimately transformable into growth. Both Holiday and Frankl, with varying degrees of directness, acknowledge the limit: there are circumstances where the framework fails, where suffering produces damage regardless of orientation, where the honest answer is that the obstacle was not the way — it was just a loss. The resilience framework is most useful when held with the honest acknowledgment of its own limits.</w:t>
            </w:r>
          </w:p>
        </w:tc>
      </w:tr>
      <w:tr>
        <w:tc>
          <w:tcPr>
            <w:tcW w:type="dxa" w:w="2600"/>
            <w:tcBorders>
              <w:top w:val="single" w:color="CBD5E0" w:sz="1"/>
              <w:left w:val="single" w:color="CBD5E0" w:sz="1"/>
              <w:bottom w:val="single" w:color="CBD5E0" w:sz="1"/>
              <w:right w:val="single" w:color="CBD5E0" w:sz="1"/>
            </w:tcBorders>
            <w:shd w:fill="FFF8E1" w:val="clear"/>
            <w:tcMar>
              <w:top w:type="dxa" w:w="100"/>
              <w:left w:type="dxa" w:w="140"/>
              <w:bottom w:type="dxa" w:w="100"/>
              <w:right w:type="dxa" w:w="140"/>
            </w:tcMar>
          </w:tcPr>
          <w:p>
            <w:r>
              <w:rPr>
                <w:rFonts w:ascii="Arial" w:cs="Arial" w:eastAsia="Arial" w:hAnsi="Arial"/>
                <w:b/>
                <w:bCs/>
                <w:color w:val="7B5900"/>
                <w:sz w:val="18"/>
                <w:szCs w:val="18"/>
              </w:rPr>
              <w:t xml:space="preserve">Individual vs. Structural Resilience</w:t>
            </w:r>
          </w:p>
        </w:tc>
        <w:tc>
          <w:tcPr>
            <w:tcW w:type="dxa" w:w="67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Frankl, Aurelius, Holiday — resilience is an interior discipline vs. Leaders Eat Last, Five Dysfunctions — resilience is also a product of community. The Stoic and existential cluster treats resilience primarily as an interior discipline: the individual's capacity to maintain orientation and character under adversity. Sinek and Lencioni locate a significant dimension of resilience in the quality of the community around the leader — the circle of safety, the belonging that makes adversity navigable, the trust that distributes the weight of difficulty across a team. The tension is productive: individual resilience frameworks can underweight the relational conditions that make them operational. Community-based resilience frameworks can underweight the interior work that no external condition can replace.</w:t>
            </w:r>
          </w:p>
        </w:tc>
      </w:tr>
    </w:tbl>
    <w:p>
      <w:pPr>
        <w:spacing w:after="0" w:before="200"/>
      </w:pPr>
    </w:p>
    <w:p>
      <w:pPr>
        <w:spacing w:after="120" w:before="320"/>
      </w:pPr>
      <w:r>
        <w:rPr>
          <w:rFonts w:ascii="Arial" w:cs="Arial" w:eastAsia="Arial" w:hAnsi="Arial"/>
          <w:b/>
          <w:bCs/>
          <w:color w:val="1B3A5C"/>
          <w:sz w:val="18"/>
          <w:szCs w:val="18"/>
        </w:rPr>
        <w:t xml:space="preserve">LEADERSHIP APPLICATION</w:t>
      </w:r>
    </w:p>
    <w:p>
      <w:pPr>
        <w:spacing w:after="160" w:before="0"/>
      </w:pPr>
      <w:r>
        <w:rPr>
          <w:rFonts w:ascii="Arial" w:cs="Arial" w:eastAsia="Arial" w:hAnsi="Arial"/>
          <w:color w:val="4A5568"/>
          <w:sz w:val="20"/>
          <w:szCs w:val="20"/>
        </w:rPr>
        <w:t xml:space="preserve">The library's resilience argument is not that military leaders are resilient — they are, by training and by tested experience. It is that the resilience they developed under institutional conditions (clear mission, structured support, the belonging of the unit) must now be maintained under conditions where those supports are absent. The Stoic framework that Frankl, Aurelius, and Holiday provide is not a new skill to learn. It is a vocabulary for understanding what military training already built, and a framework for maintaining it when the institutional scaffolding is gone.</w:t>
      </w:r>
    </w:p>
    <w:p>
      <w:pPr>
        <w:spacing w:after="0" w:before="100"/>
      </w:pPr>
    </w:p>
    <w:p>
      <w:pPr>
        <w:spacing w:after="120" w:before="320"/>
      </w:pPr>
      <w:r>
        <w:rPr>
          <w:rFonts w:ascii="Arial" w:cs="Arial" w:eastAsia="Arial" w:hAnsi="Arial"/>
          <w:b/>
          <w:bCs/>
          <w:color w:val="1B3A5C"/>
          <w:sz w:val="18"/>
          <w:szCs w:val="18"/>
        </w:rPr>
        <w:t xml:space="preserve">TRANSITION APPLICATION</w:t>
      </w:r>
    </w:p>
    <w:p>
      <w:pPr>
        <w:spacing w:after="160" w:before="0"/>
      </w:pPr>
      <w:r>
        <w:rPr>
          <w:rFonts w:ascii="Arial" w:cs="Arial" w:eastAsia="Arial" w:hAnsi="Arial"/>
          <w:color w:val="4A5568"/>
          <w:sz w:val="20"/>
          <w:szCs w:val="20"/>
        </w:rPr>
        <w:t xml:space="preserve">Transition is not the hardest thing most military leaders have done. But it is frequently the most disorienting — because the tools that carried them through previous adversity (the mission, the unit, the belonging) are absent, and the adversity itself (uncertainty, identity disruption, the civilian world's indifference to the service record) is unfamiliar. The Stoic-existential framework in this library does not offer a new difficulty. It offers a way to see the one already present with enough precision to engage it productively rather than be consumed by it.</w:t>
      </w:r>
    </w:p>
    <w:p>
      <w:pPr>
        <w:spacing w:after="0" w:before="100"/>
      </w:pPr>
    </w:p>
    <w:p>
      <w:pPr>
        <w:spacing w:after="120" w:before="320"/>
      </w:pPr>
      <w:r>
        <w:rPr>
          <w:rFonts w:ascii="Arial" w:cs="Arial" w:eastAsia="Arial" w:hAnsi="Arial"/>
          <w:b/>
          <w:bCs/>
          <w:color w:val="1B3A5C"/>
          <w:sz w:val="18"/>
          <w:szCs w:val="18"/>
        </w:rPr>
        <w:t xml:space="preserve">GATEWAY BOOKS</w:t>
      </w:r>
    </w:p>
    <w:p>
      <w:pPr>
        <w:spacing w:after="160" w:before="0"/>
      </w:pPr>
      <w:r>
        <w:rPr>
          <w:rFonts w:ascii="Arial" w:cs="Arial" w:eastAsia="Arial" w:hAnsi="Arial"/>
          <w:color w:val="4A5568"/>
          <w:sz w:val="20"/>
          <w:szCs w:val="20"/>
        </w:rPr>
        <w:t xml:space="preserve">Recommended entry points for readers new to this theme. Selected not by node tier but by accessibility and direct relevance to the primary reader.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40" w:before="0"/>
            </w:pPr>
            <w:r>
              <w:rPr>
                <w:rFonts w:ascii="Arial" w:cs="Arial" w:eastAsia="Arial" w:hAnsi="Arial"/>
                <w:b/>
                <w:bCs/>
                <w:color w:val="1B3A5C"/>
                <w:sz w:val="18"/>
                <w:szCs w:val="18"/>
              </w:rPr>
              <w:t xml:space="preserve">Man's Search for Meaning</w:t>
            </w:r>
          </w:p>
          <w:p>
            <w:pPr>
              <w:spacing w:after="0" w:before="0"/>
            </w:pPr>
            <w:r>
              <w:rPr>
                <w:rFonts w:ascii="Arial" w:cs="Arial" w:eastAsia="Arial" w:hAnsi="Arial"/>
                <w:color w:val="B8960C"/>
                <w:sz w:val="16"/>
                <w:szCs w:val="16"/>
              </w:rPr>
              <w:t xml:space="preserve">Viktor Frankl</w:t>
            </w:r>
          </w:p>
        </w:tc>
        <w:tc>
          <w:tcPr>
            <w:tcW w:type="dxa" w:w="65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foundational evidence — provides the most demanding test case available and finds the framework holding.</w:t>
            </w:r>
          </w:p>
        </w:tc>
      </w:tr>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40" w:before="0"/>
            </w:pPr>
            <w:r>
              <w:rPr>
                <w:rFonts w:ascii="Arial" w:cs="Arial" w:eastAsia="Arial" w:hAnsi="Arial"/>
                <w:b/>
                <w:bCs/>
                <w:color w:val="1B3A5C"/>
                <w:sz w:val="18"/>
                <w:szCs w:val="18"/>
              </w:rPr>
              <w:t xml:space="preserve">The Obstacle Is the Way</w:t>
            </w:r>
          </w:p>
          <w:p>
            <w:pPr>
              <w:spacing w:after="0" w:before="0"/>
            </w:pPr>
            <w:r>
              <w:rPr>
                <w:rFonts w:ascii="Arial" w:cs="Arial" w:eastAsia="Arial" w:hAnsi="Arial"/>
                <w:color w:val="B8960C"/>
                <w:sz w:val="16"/>
                <w:szCs w:val="16"/>
              </w:rPr>
              <w:t xml:space="preserve">Ryan Holiday</w:t>
            </w:r>
          </w:p>
        </w:tc>
        <w:tc>
          <w:tcPr>
            <w:tcW w:type="dxa" w:w="65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operational synthesis — translates the Frankl-Aurelius tradition into a practical architecture with historical examples across many contexts.</w:t>
            </w:r>
          </w:p>
        </w:tc>
      </w:tr>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40" w:before="0"/>
            </w:pPr>
            <w:r>
              <w:rPr>
                <w:rFonts w:ascii="Arial" w:cs="Arial" w:eastAsia="Arial" w:hAnsi="Arial"/>
                <w:b/>
                <w:bCs/>
                <w:color w:val="1B3A5C"/>
                <w:sz w:val="18"/>
                <w:szCs w:val="18"/>
              </w:rPr>
              <w:t xml:space="preserve">Meditations</w:t>
            </w:r>
          </w:p>
          <w:p>
            <w:pPr>
              <w:spacing w:after="0" w:before="0"/>
            </w:pPr>
            <w:r>
              <w:rPr>
                <w:rFonts w:ascii="Arial" w:cs="Arial" w:eastAsia="Arial" w:hAnsi="Arial"/>
                <w:color w:val="B8960C"/>
                <w:sz w:val="16"/>
                <w:szCs w:val="16"/>
              </w:rPr>
              <w:t xml:space="preserve">Marcus Aurelius</w:t>
            </w:r>
          </w:p>
        </w:tc>
        <w:tc>
          <w:tcPr>
            <w:tcW w:type="dxa" w:w="65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philosophical practice — demonstrates what the daily discipline of resilience looks like when lived rather than described.</w:t>
            </w:r>
          </w:p>
        </w:tc>
      </w:tr>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40" w:before="0"/>
            </w:pPr>
            <w:r>
              <w:rPr>
                <w:rFonts w:ascii="Arial" w:cs="Arial" w:eastAsia="Arial" w:hAnsi="Arial"/>
                <w:b/>
                <w:bCs/>
                <w:color w:val="1B3A5C"/>
                <w:sz w:val="18"/>
                <w:szCs w:val="18"/>
              </w:rPr>
              <w:t xml:space="preserve">Good to Great</w:t>
            </w:r>
          </w:p>
          <w:p>
            <w:pPr>
              <w:spacing w:after="0" w:before="0"/>
            </w:pPr>
            <w:r>
              <w:rPr>
                <w:rFonts w:ascii="Arial" w:cs="Arial" w:eastAsia="Arial" w:hAnsi="Arial"/>
                <w:color w:val="B8960C"/>
                <w:sz w:val="16"/>
                <w:szCs w:val="16"/>
              </w:rPr>
              <w:t xml:space="preserve">Jim Collins</w:t>
            </w:r>
          </w:p>
        </w:tc>
        <w:tc>
          <w:tcPr>
            <w:tcW w:type="dxa" w:w="65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organizational validation — provides empirical evidence, through the Stockdale Paradox, that the Stoic resilience claim holds in systematic research on sustained performance.</w:t>
            </w:r>
          </w:p>
        </w:tc>
      </w:tr>
    </w:tbl>
    <w:p>
      <w:pPr>
        <w:spacing w:after="0" w:before="100"/>
      </w:pPr>
    </w:p>
    <w:p>
      <w:pPr>
        <w:spacing w:after="120" w:before="320"/>
      </w:pPr>
      <w:r>
        <w:rPr>
          <w:rFonts w:ascii="Arial" w:cs="Arial" w:eastAsia="Arial" w:hAnsi="Arial"/>
          <w:b/>
          <w:bCs/>
          <w:color w:val="1B3A5C"/>
          <w:sz w:val="18"/>
          <w:szCs w:val="18"/>
        </w:rPr>
        <w:t xml:space="preserve">THEME EVOLUTION NOTES</w:t>
      </w:r>
    </w:p>
    <w:p>
      <w:pPr>
        <w:spacing w:after="160" w:before="0"/>
      </w:pPr>
      <w:r>
        <w:rPr>
          <w:rFonts w:ascii="Arial" w:cs="Arial" w:eastAsia="Arial" w:hAnsi="Arial"/>
          <w:color w:val="4A5568"/>
          <w:sz w:val="20"/>
          <w:szCs w:val="20"/>
        </w:rPr>
        <w:t xml:space="preserve">Resilience is addressed by 10 books in the current library, primarily through the Stoic and existential tradition. Identified gaps include texts addressing the neurological and physiological dimensions of stress resilience, and frameworks specifically developed for cumulative adversity (as distinct from acute crisis) — both of which are relevant to the military transition experience.</w:t>
      </w:r>
    </w:p>
    <w:p>
      <w:r>
        <w:br w:type="page"/>
      </w:r>
    </w:p>
    <w:p>
      <w:pPr>
        <w:spacing w:after="80" w:before="0"/>
      </w:pPr>
      <w:r>
        <w:rPr>
          <w:rFonts w:ascii="Arial" w:cs="Arial" w:eastAsia="Arial" w:hAnsi="Arial"/>
          <w:b/>
          <w:bCs/>
          <w:color w:val="1B3A5C"/>
          <w:sz w:val="52"/>
          <w:szCs w:val="52"/>
        </w:rPr>
        <w:t xml:space="preserve">LEADERSHIP</w:t>
      </w:r>
    </w:p>
    <w:p>
      <w:pPr>
        <w:spacing w:after="240" w:before="0"/>
      </w:pPr>
      <w:r>
        <w:rPr>
          <w:rFonts w:ascii="Arial" w:cs="Arial" w:eastAsia="Arial" w:hAnsi="Arial"/>
          <w:b/>
          <w:bCs/>
          <w:color w:val="B8960C"/>
          <w:sz w:val="24"/>
          <w:szCs w:val="24"/>
        </w:rPr>
        <w:t xml:space="preserve">What does it mean to lead when the institutional conditions of leadership have changed?</w:t>
      </w:r>
    </w:p>
    <w:p>
      <w:pPr>
        <w:pBdr>
          <w:bottom w:val="single" w:color="B8960C" w:sz="4" w:space="1"/>
        </w:pBdr>
        <w:spacing w:after="300" w:before="100"/>
      </w:pPr>
    </w:p>
    <w:p>
      <w:pPr>
        <w:spacing w:after="120" w:before="320"/>
      </w:pPr>
      <w:r>
        <w:rPr>
          <w:rFonts w:ascii="Arial" w:cs="Arial" w:eastAsia="Arial" w:hAnsi="Arial"/>
          <w:b/>
          <w:bCs/>
          <w:color w:val="1B3A5C"/>
          <w:sz w:val="18"/>
          <w:szCs w:val="18"/>
        </w:rPr>
        <w:t xml:space="preserve">THEME DEFINITION</w:t>
      </w:r>
    </w:p>
    <w:p>
      <w:pPr>
        <w:spacing w:after="160" w:before="0"/>
      </w:pPr>
      <w:r>
        <w:rPr>
          <w:rFonts w:ascii="Arial" w:cs="Arial" w:eastAsia="Arial" w:hAnsi="Arial"/>
          <w:color w:val="4A5568"/>
          <w:sz w:val="20"/>
          <w:szCs w:val="20"/>
        </w:rPr>
        <w:t xml:space="preserve">Within this library, leadership is not a position or a set of techniques. It is a character orientation expressed in the service of others, under whatever conditions are available, through whatever authority — formal or informal — the situation provides. The library treats leadership through five distinct lenses: philosophical (Aurelius — virtue as the foundation of all genuine authority), existential (Frankl — the moral authority that survives the removal of position), organizational (Collins, Lencioni — the empirical research on what sustained leadership excellence looks like), military (Willink — the specific translation of leadership principles from combat to civilian contexts), and transitional (Greenleaf, Sinek — what leadership becomes when institutional structure is no longer providing its scaffolding). The convergent insight: leadership built on character outlasts every position the leader ever holds.</w:t>
      </w:r>
    </w:p>
    <w:p>
      <w:pPr>
        <w:spacing w:after="0" w:before="100"/>
      </w:pPr>
    </w:p>
    <w:p>
      <w:pPr>
        <w:spacing w:after="120" w:before="320"/>
      </w:pPr>
      <w:r>
        <w:rPr>
          <w:rFonts w:ascii="Arial" w:cs="Arial" w:eastAsia="Arial" w:hAnsi="Arial"/>
          <w:b/>
          <w:bCs/>
          <w:color w:val="1B3A5C"/>
          <w:sz w:val="18"/>
          <w:szCs w:val="18"/>
        </w:rPr>
        <w:t xml:space="preserve">THEME AT A GLANCE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Primary Books</w:t>
            </w:r>
          </w:p>
        </w:tc>
        <w:tc>
          <w:tcPr>
            <w:tcW w:type="dxa" w:w="716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4A5568"/>
                <w:sz w:val="18"/>
                <w:szCs w:val="18"/>
              </w:rPr>
              <w:t xml:space="preserve">Good to Great · Collins  ·  Extreme Ownership · Willink &amp; Babin  ·  The Five Dysfunctions · Lencioni  ·  Leaders Eat Last · Sinek  ·  Meditations · Aurelius  ·  The Servant as Leader · Greenleaf  ·  The Infinite Game · Sinek</w:t>
            </w:r>
          </w:p>
        </w:tc>
      </w:tr>
    </w:tbl>
    <w:p>
      <w:pPr>
        <w:spacing w:after="0" w:before="200"/>
      </w:pPr>
    </w:p>
    <w:p>
      <w:pPr>
        <w:spacing w:after="120" w:before="320"/>
      </w:pPr>
      <w:r>
        <w:rPr>
          <w:rFonts w:ascii="Arial" w:cs="Arial" w:eastAsia="Arial" w:hAnsi="Arial"/>
          <w:b/>
          <w:bCs/>
          <w:color w:val="1B3A5C"/>
          <w:sz w:val="18"/>
          <w:szCs w:val="18"/>
        </w:rPr>
        <w:t xml:space="preserve">WHERE THE AUTHORS CONVERGE</w:t>
      </w:r>
    </w:p>
    <w:p>
      <w:pPr>
        <w:spacing w:after="160" w:before="0"/>
      </w:pPr>
      <w:r>
        <w:rPr>
          <w:rFonts w:ascii="Arial" w:cs="Arial" w:eastAsia="Arial" w:hAnsi="Arial"/>
          <w:color w:val="4A5568"/>
          <w:sz w:val="20"/>
          <w:szCs w:val="20"/>
        </w:rPr>
        <w:t xml:space="preserve">The following convergences represent the specific points where books from different traditions, eras, or genres arrive at the same essential insight independently — the library's strongest evidence for what is genuinely true about this theme.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before="0"/>
            </w:pPr>
            <w:r>
              <w:rPr>
                <w:rFonts w:ascii="Arial" w:cs="Arial" w:eastAsia="Arial" w:hAnsi="Arial"/>
                <w:b/>
                <w:bCs/>
                <w:color w:val="1B3A5C"/>
                <w:sz w:val="17"/>
                <w:szCs w:val="17"/>
              </w:rPr>
              <w:t xml:space="preserve">Collins + Greenleaf + Aurelius</w:t>
            </w:r>
          </w:p>
          <w:p>
            <w:pPr>
              <w:spacing w:after="60" w:before="0"/>
            </w:pPr>
            <w:r>
              <w:rPr>
                <w:rFonts w:ascii="Arial" w:cs="Arial" w:eastAsia="Arial" w:hAnsi="Arial"/>
                <w:b/>
                <w:bCs/>
                <w:color w:val="1B3A5C"/>
                <w:sz w:val="17"/>
                <w:szCs w:val="17"/>
              </w:rPr>
              <w:t xml:space="preserve">[Three-Tradition Convergence on Character]</w:t>
            </w:r>
          </w:p>
        </w:tc>
        <w:tc>
          <w:tcPr>
            <w:tcW w:type="dxa" w:w="73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most significant leadership convergence in the library spans organizational research, twentieth-century philosophy, and second-century Stoic practice. Collins found, through systematic comparison of matched organizational pairs, that the leaders who drove the most sustained transformations were defined by fierce professional will combined with personal humility — ambition directed toward the institution rather than the self. Greenleaf argued, from philosophical observation, that the leader who begins with the desire to serve rather than the desire to lead produces fundamentally different outcomes for the people under their care. Aurelius practiced, in private daily journals, the discipline of refusing to let the most powerful position in the known world define who he was. All three, from utterly different directions, arrived at the same essential formulation: genuine leadership authority is built on character, and character is measured by what the leader does when the position is no longer reinforcing it. The three-tradition convergence is the library's strongest validation of what this platform was built to argue.</w:t>
            </w:r>
          </w:p>
        </w:tc>
      </w:tr>
      <w:tr>
        <w:tc>
          <w:tcPr>
            <w:tcW w:type="dxa" w:w="20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before="0"/>
            </w:pPr>
            <w:r>
              <w:rPr>
                <w:rFonts w:ascii="Arial" w:cs="Arial" w:eastAsia="Arial" w:hAnsi="Arial"/>
                <w:b/>
                <w:bCs/>
                <w:color w:val="1B3A5C"/>
                <w:sz w:val="17"/>
                <w:szCs w:val="17"/>
              </w:rPr>
              <w:t xml:space="preserve">Sinek (Leaders Eat Last) + Greenleaf</w:t>
            </w:r>
          </w:p>
          <w:p>
            <w:pPr>
              <w:spacing w:after="60" w:before="0"/>
            </w:pPr>
            <w:r>
              <w:rPr>
                <w:rFonts w:ascii="Arial" w:cs="Arial" w:eastAsia="Arial" w:hAnsi="Arial"/>
                <w:b/>
                <w:bCs/>
                <w:color w:val="1B3A5C"/>
                <w:sz w:val="17"/>
                <w:szCs w:val="17"/>
              </w:rPr>
              <w:t xml:space="preserve">[Philosophy-Science Bridge]</w:t>
            </w:r>
          </w:p>
        </w:tc>
        <w:tc>
          <w:tcPr>
            <w:tcW w:type="dxa" w:w="73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Greenleaf's moral claim — that the leader exists to serve the growth of others — and Sinek's biological claim — that the leader who creates a circle of safety triggers the neurochemical conditions for genuine commitment and sacrifice — are not two different leadership philosophies. They are the same thing described in the languages of two different centuries. What Greenleaf called the servant-leader orientation, Sinek's organizational research found to be the architecture of sustained team performance. What Sinek's biology explains, Greenleaf's philosophy had already identified as the moral foundation. The bridge is not merely confirming — it is clarifying: service-oriented leadership is not idealistic, and it is not a soft approach. It is the most empirically supportable architecture for genuine performance that the library contains.</w:t>
            </w:r>
          </w:p>
        </w:tc>
      </w:tr>
      <w:tr>
        <w:tc>
          <w:tcPr>
            <w:tcW w:type="dxa" w:w="20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before="0"/>
            </w:pPr>
            <w:r>
              <w:rPr>
                <w:rFonts w:ascii="Arial" w:cs="Arial" w:eastAsia="Arial" w:hAnsi="Arial"/>
                <w:b/>
                <w:bCs/>
                <w:color w:val="1B3A5C"/>
                <w:sz w:val="17"/>
                <w:szCs w:val="17"/>
              </w:rPr>
              <w:t xml:space="preserve">Willink &amp; Babin + Frankl</w:t>
            </w:r>
          </w:p>
          <w:p>
            <w:pPr>
              <w:spacing w:after="60" w:before="0"/>
            </w:pPr>
            <w:r>
              <w:rPr>
                <w:rFonts w:ascii="Arial" w:cs="Arial" w:eastAsia="Arial" w:hAnsi="Arial"/>
                <w:b/>
                <w:bCs/>
                <w:color w:val="1B3A5C"/>
                <w:sz w:val="17"/>
                <w:szCs w:val="17"/>
              </w:rPr>
              <w:t xml:space="preserve">[Tradition Bridge: Operations and Philosophy]</w:t>
            </w:r>
          </w:p>
        </w:tc>
        <w:tc>
          <w:tcPr>
            <w:tcW w:type="dxa" w:w="73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Willink and Frankl approach leadership authority from opposite ends of human experience — one from SEAL team combat operations, the other from concentration camp survival — and arrive at the same essential claim: the most durable form of leadership authority is not conferred by position but built through the quality of one's response to difficult circumstances. Willink's accountability philosophy — the leader who owns everything — and Frankl's observation that moral character is the irreducible core of genuine authority both argue that position is not the source of leadership. It is the vehicle. The authority that survives the removal of position is the authority that was never rooted there.</w:t>
            </w:r>
          </w:p>
        </w:tc>
      </w:tr>
      <w:tr>
        <w:tc>
          <w:tcPr>
            <w:tcW w:type="dxa" w:w="20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before="0"/>
            </w:pPr>
            <w:r>
              <w:rPr>
                <w:rFonts w:ascii="Arial" w:cs="Arial" w:eastAsia="Arial" w:hAnsi="Arial"/>
                <w:b/>
                <w:bCs/>
                <w:color w:val="1B3A5C"/>
                <w:sz w:val="17"/>
                <w:szCs w:val="17"/>
              </w:rPr>
              <w:t xml:space="preserve">Sinek (Infinite Game) + Collins</w:t>
            </w:r>
          </w:p>
          <w:p>
            <w:pPr>
              <w:spacing w:after="60" w:before="0"/>
            </w:pPr>
            <w:r>
              <w:rPr>
                <w:rFonts w:ascii="Arial" w:cs="Arial" w:eastAsia="Arial" w:hAnsi="Arial"/>
                <w:b/>
                <w:bCs/>
                <w:color w:val="1B3A5C"/>
                <w:sz w:val="17"/>
                <w:szCs w:val="17"/>
              </w:rPr>
              <w:t xml:space="preserve">[Legacy Convergence]</w:t>
            </w:r>
          </w:p>
        </w:tc>
        <w:tc>
          <w:tcPr>
            <w:tcW w:type="dxa" w:w="73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Sinek's infinite-game framing and Collins' research on Level 5 Leaders converge on the most precise description of leadership legacy available in the library. Collins found that the leaders who built the most enduring organizations were those who set their successors up to outperform them — who measured their contribution not by what they accumulated but by the flywheel they kept spinning. Sinek argues that the infinite-game player's purpose is to keep the game going for the next generation, not to win it for themselves. Both are describing the same orientation: the leader who understands that their contribution is one movement in something larger than their own career finds in that continuity the meaning that finite achievement cannot provide.</w:t>
            </w:r>
          </w:p>
        </w:tc>
      </w:tr>
    </w:tbl>
    <w:p>
      <w:pPr>
        <w:spacing w:after="0" w:before="200"/>
      </w:pPr>
    </w:p>
    <w:p>
      <w:pPr>
        <w:spacing w:after="120" w:before="320"/>
      </w:pPr>
      <w:r>
        <w:rPr>
          <w:rFonts w:ascii="Arial" w:cs="Arial" w:eastAsia="Arial" w:hAnsi="Arial"/>
          <w:b/>
          <w:bCs/>
          <w:color w:val="1B3A5C"/>
          <w:sz w:val="18"/>
          <w:szCs w:val="18"/>
        </w:rPr>
        <w:t xml:space="preserve">WHERE THE AUTHORS DIVERGE</w:t>
      </w:r>
    </w:p>
    <w:p>
      <w:pPr>
        <w:spacing w:after="160" w:before="0"/>
      </w:pPr>
      <w:r>
        <w:rPr>
          <w:rFonts w:ascii="Arial" w:cs="Arial" w:eastAsia="Arial" w:hAnsi="Arial"/>
          <w:color w:val="4A5568"/>
          <w:sz w:val="20"/>
          <w:szCs w:val="20"/>
        </w:rPr>
        <w:t xml:space="preserve">The library is honest about genuine tensions — places where books approach the same theme from meaningfully different angles, or where an author's framework is stronger in some conditions than others. These tensions are productive rather than disqualifying.</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1"/>
              <w:left w:val="single" w:color="CBD5E0" w:sz="1"/>
              <w:bottom w:val="single" w:color="CBD5E0" w:sz="1"/>
              <w:right w:val="single" w:color="CBD5E0" w:sz="1"/>
            </w:tcBorders>
            <w:shd w:fill="FFF8E1" w:val="clear"/>
            <w:tcMar>
              <w:top w:type="dxa" w:w="100"/>
              <w:left w:type="dxa" w:w="140"/>
              <w:bottom w:type="dxa" w:w="100"/>
              <w:right w:type="dxa" w:w="140"/>
            </w:tcMar>
          </w:tcPr>
          <w:p>
            <w:r>
              <w:rPr>
                <w:rFonts w:ascii="Arial" w:cs="Arial" w:eastAsia="Arial" w:hAnsi="Arial"/>
                <w:b/>
                <w:bCs/>
                <w:color w:val="7B5900"/>
                <w:sz w:val="18"/>
                <w:szCs w:val="18"/>
              </w:rPr>
              <w:t xml:space="preserve">Military vs. Civilian Leadership</w:t>
            </w:r>
          </w:p>
        </w:tc>
        <w:tc>
          <w:tcPr>
            <w:tcW w:type="dxa" w:w="67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Authority-backed, rank-defined, structurally enforced vs. Influence-based, earned incrementally, structurally absent. The most persistent tension in the library's leadership treatment. Military leadership operated within a structure designed to support it: clear authority, defined accountability chains, the ability to set and enforce standards, and a culture that made leadership expectations explicit at every level. Civilian leadership operates in environments where authority is often diffuse, accountability is negotiated rather than assigned, and influence must be built through relationship and demonstrated competence rather than received from the institution. This is not a deficiency of civilian organizations. It is a structural difference that requires a different application of the same essential leadership orientation — and that difference is the source of most military leaders' early civilian disorientation.</w:t>
            </w:r>
          </w:p>
        </w:tc>
      </w:tr>
      <w:tr>
        <w:tc>
          <w:tcPr>
            <w:tcW w:type="dxa" w:w="2600"/>
            <w:tcBorders>
              <w:top w:val="single" w:color="CBD5E0" w:sz="1"/>
              <w:left w:val="single" w:color="CBD5E0" w:sz="1"/>
              <w:bottom w:val="single" w:color="CBD5E0" w:sz="1"/>
              <w:right w:val="single" w:color="CBD5E0" w:sz="1"/>
            </w:tcBorders>
            <w:shd w:fill="FFF8E1" w:val="clear"/>
            <w:tcMar>
              <w:top w:type="dxa" w:w="100"/>
              <w:left w:type="dxa" w:w="140"/>
              <w:bottom w:type="dxa" w:w="100"/>
              <w:right w:type="dxa" w:w="140"/>
            </w:tcMar>
          </w:tcPr>
          <w:p>
            <w:r>
              <w:rPr>
                <w:rFonts w:ascii="Arial" w:cs="Arial" w:eastAsia="Arial" w:hAnsi="Arial"/>
                <w:b/>
                <w:bCs/>
                <w:color w:val="7B5900"/>
                <w:sz w:val="18"/>
                <w:szCs w:val="18"/>
              </w:rPr>
              <w:t xml:space="preserve">Positional vs. Moral Authority</w:t>
            </w:r>
          </w:p>
        </w:tc>
        <w:tc>
          <w:tcPr>
            <w:tcW w:type="dxa" w:w="67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institutional model of leadership (authority from position) vs. Frankl, Aurelius, Greenleaf (authority from character). The library's deepest leadership tension is not between civilian and military models — it is between the two theories of where leadership authority actually comes from. The institutional model, which military culture reinforces structurally, holds that authority flows from position: the rank provides it, the institution sustains it, and the organizational hierarchy clarifies it. The philosophical and existential tradition in the library holds that genuine authority flows from character: the quality of one's presence, the consistency of one's values under pressure, and the orientation toward service that makes people want to follow rather than feel obligated to. Both are present in military culture. Transition reveals which one was actually operating.</w:t>
            </w:r>
          </w:p>
        </w:tc>
      </w:tr>
    </w:tbl>
    <w:p>
      <w:pPr>
        <w:spacing w:after="0" w:before="200"/>
      </w:pPr>
    </w:p>
    <w:p>
      <w:pPr>
        <w:spacing w:after="120" w:before="320"/>
      </w:pPr>
      <w:r>
        <w:rPr>
          <w:rFonts w:ascii="Arial" w:cs="Arial" w:eastAsia="Arial" w:hAnsi="Arial"/>
          <w:b/>
          <w:bCs/>
          <w:color w:val="1B3A5C"/>
          <w:sz w:val="18"/>
          <w:szCs w:val="18"/>
        </w:rPr>
        <w:t xml:space="preserve">LEADERSHIP APPLICATION</w:t>
      </w:r>
    </w:p>
    <w:p>
      <w:pPr>
        <w:spacing w:after="160" w:before="0"/>
      </w:pPr>
      <w:r>
        <w:rPr>
          <w:rFonts w:ascii="Arial" w:cs="Arial" w:eastAsia="Arial" w:hAnsi="Arial"/>
          <w:color w:val="4A5568"/>
          <w:sz w:val="20"/>
          <w:szCs w:val="20"/>
        </w:rPr>
        <w:t xml:space="preserve">The transition reader's most important leadership insight, distributed across this entire theme, is that the leadership they built in uniform is more durable than the transition process suggests. The rank and the title are gone. The character, the presence, the capacity to maintain orientation under pressure, the orientation toward the growth of others — these were never the institution's to take. The work of the next chapter is not rebuilding leadership from scratch. It is discovering that the leadership was always personal, and finding the contexts where it can be expressed without the institutional scaffolding that used to make it visible.</w:t>
      </w:r>
    </w:p>
    <w:p>
      <w:pPr>
        <w:spacing w:after="0" w:before="100"/>
      </w:pPr>
    </w:p>
    <w:p>
      <w:pPr>
        <w:spacing w:after="120" w:before="320"/>
      </w:pPr>
      <w:r>
        <w:rPr>
          <w:rFonts w:ascii="Arial" w:cs="Arial" w:eastAsia="Arial" w:hAnsi="Arial"/>
          <w:b/>
          <w:bCs/>
          <w:color w:val="1B3A5C"/>
          <w:sz w:val="18"/>
          <w:szCs w:val="18"/>
        </w:rPr>
        <w:t xml:space="preserve">TRANSITION APPLICATION</w:t>
      </w:r>
    </w:p>
    <w:p>
      <w:pPr>
        <w:spacing w:after="160" w:before="0"/>
      </w:pPr>
      <w:r>
        <w:rPr>
          <w:rFonts w:ascii="Arial" w:cs="Arial" w:eastAsia="Arial" w:hAnsi="Arial"/>
          <w:color w:val="4A5568"/>
          <w:sz w:val="20"/>
          <w:szCs w:val="20"/>
        </w:rPr>
        <w:t xml:space="preserve">Leadership in transition is most disorienting for accomplished leaders — not for those who struggled in uniform. The accomplished leader arrives in a civilian environment expecting that the quality of their leadership will be recognized quickly and deferred to naturally. It is not. Civilian organizations do not have the vocabulary to evaluate military leadership experience directly, and the absence of institutional endorsement produces a silence that many accomplished leaders misread as evidence that their leadership is somehow diminished. It is not diminished. It is unrecognized. The work is building the contexts in which it can be seen.</w:t>
      </w:r>
    </w:p>
    <w:p>
      <w:pPr>
        <w:spacing w:after="0" w:before="100"/>
      </w:pPr>
    </w:p>
    <w:p>
      <w:pPr>
        <w:spacing w:after="120" w:before="320"/>
      </w:pPr>
      <w:r>
        <w:rPr>
          <w:rFonts w:ascii="Arial" w:cs="Arial" w:eastAsia="Arial" w:hAnsi="Arial"/>
          <w:b/>
          <w:bCs/>
          <w:color w:val="1B3A5C"/>
          <w:sz w:val="18"/>
          <w:szCs w:val="18"/>
        </w:rPr>
        <w:t xml:space="preserve">GATEWAY BOOKS</w:t>
      </w:r>
    </w:p>
    <w:p>
      <w:pPr>
        <w:spacing w:after="160" w:before="0"/>
      </w:pPr>
      <w:r>
        <w:rPr>
          <w:rFonts w:ascii="Arial" w:cs="Arial" w:eastAsia="Arial" w:hAnsi="Arial"/>
          <w:color w:val="4A5568"/>
          <w:sz w:val="20"/>
          <w:szCs w:val="20"/>
        </w:rPr>
        <w:t xml:space="preserve">Recommended entry points for readers new to this theme. Selected not by node tier but by accessibility and direct relevance to the primary reader.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40" w:before="0"/>
            </w:pPr>
            <w:r>
              <w:rPr>
                <w:rFonts w:ascii="Arial" w:cs="Arial" w:eastAsia="Arial" w:hAnsi="Arial"/>
                <w:b/>
                <w:bCs/>
                <w:color w:val="1B3A5C"/>
                <w:sz w:val="18"/>
                <w:szCs w:val="18"/>
              </w:rPr>
              <w:t xml:space="preserve">Good to Great</w:t>
            </w:r>
          </w:p>
          <w:p>
            <w:pPr>
              <w:spacing w:after="0" w:before="0"/>
            </w:pPr>
            <w:r>
              <w:rPr>
                <w:rFonts w:ascii="Arial" w:cs="Arial" w:eastAsia="Arial" w:hAnsi="Arial"/>
                <w:color w:val="B8960C"/>
                <w:sz w:val="16"/>
                <w:szCs w:val="16"/>
              </w:rPr>
              <w:t xml:space="preserve">Jim Collins</w:t>
            </w:r>
          </w:p>
        </w:tc>
        <w:tc>
          <w:tcPr>
            <w:tcW w:type="dxa" w:w="65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research foundation — provides civilian-credible vocabulary for the leadership identity military leaders have already built.</w:t>
            </w:r>
          </w:p>
        </w:tc>
      </w:tr>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40" w:before="0"/>
            </w:pPr>
            <w:r>
              <w:rPr>
                <w:rFonts w:ascii="Arial" w:cs="Arial" w:eastAsia="Arial" w:hAnsi="Arial"/>
                <w:b/>
                <w:bCs/>
                <w:color w:val="1B3A5C"/>
                <w:sz w:val="18"/>
                <w:szCs w:val="18"/>
              </w:rPr>
              <w:t xml:space="preserve">The Servant as Leader</w:t>
            </w:r>
          </w:p>
          <w:p>
            <w:pPr>
              <w:spacing w:after="0" w:before="0"/>
            </w:pPr>
            <w:r>
              <w:rPr>
                <w:rFonts w:ascii="Arial" w:cs="Arial" w:eastAsia="Arial" w:hAnsi="Arial"/>
                <w:color w:val="B8960C"/>
                <w:sz w:val="16"/>
                <w:szCs w:val="16"/>
              </w:rPr>
              <w:t xml:space="preserve">Robert Greenleaf</w:t>
            </w:r>
          </w:p>
        </w:tc>
        <w:tc>
          <w:tcPr>
            <w:tcW w:type="dxa" w:w="65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philosophical direction — the clearest articulation of what post-institutional leadership is moving toward.</w:t>
            </w:r>
          </w:p>
        </w:tc>
      </w:tr>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40" w:before="0"/>
            </w:pPr>
            <w:r>
              <w:rPr>
                <w:rFonts w:ascii="Arial" w:cs="Arial" w:eastAsia="Arial" w:hAnsi="Arial"/>
                <w:b/>
                <w:bCs/>
                <w:color w:val="1B3A5C"/>
                <w:sz w:val="18"/>
                <w:szCs w:val="18"/>
              </w:rPr>
              <w:t xml:space="preserve">Leaders Eat Last</w:t>
            </w:r>
          </w:p>
          <w:p>
            <w:pPr>
              <w:spacing w:after="0" w:before="0"/>
            </w:pPr>
            <w:r>
              <w:rPr>
                <w:rFonts w:ascii="Arial" w:cs="Arial" w:eastAsia="Arial" w:hAnsi="Arial"/>
                <w:color w:val="B8960C"/>
                <w:sz w:val="16"/>
                <w:szCs w:val="16"/>
              </w:rPr>
              <w:t xml:space="preserve">Simon Sinek</w:t>
            </w:r>
          </w:p>
        </w:tc>
        <w:tc>
          <w:tcPr>
            <w:tcW w:type="dxa" w:w="65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military-civilian bridge — explains why military leadership felt the way it did and what building its equivalent in civilian contexts actually requires.</w:t>
            </w:r>
          </w:p>
        </w:tc>
      </w:tr>
      <w:tr>
        <w:tc>
          <w:tcPr>
            <w:tcW w:type="dxa" w:w="2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40" w:before="0"/>
            </w:pPr>
            <w:r>
              <w:rPr>
                <w:rFonts w:ascii="Arial" w:cs="Arial" w:eastAsia="Arial" w:hAnsi="Arial"/>
                <w:b/>
                <w:bCs/>
                <w:color w:val="1B3A5C"/>
                <w:sz w:val="18"/>
                <w:szCs w:val="18"/>
              </w:rPr>
              <w:t xml:space="preserve">Extreme Ownership</w:t>
            </w:r>
          </w:p>
          <w:p>
            <w:pPr>
              <w:spacing w:after="0" w:before="0"/>
            </w:pPr>
            <w:r>
              <w:rPr>
                <w:rFonts w:ascii="Arial" w:cs="Arial" w:eastAsia="Arial" w:hAnsi="Arial"/>
                <w:color w:val="B8960C"/>
                <w:sz w:val="16"/>
                <w:szCs w:val="16"/>
              </w:rPr>
              <w:t xml:space="preserve">Willink &amp; Babin</w:t>
            </w:r>
          </w:p>
        </w:tc>
        <w:tc>
          <w:tcPr>
            <w:tcW w:type="dxa" w:w="65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credibility anchor — earns the right to apply military principles to civilian leadership questions with enough operational authenticity to be trusted.</w:t>
            </w:r>
          </w:p>
        </w:tc>
      </w:tr>
    </w:tbl>
    <w:p>
      <w:pPr>
        <w:spacing w:after="0" w:before="100"/>
      </w:pPr>
    </w:p>
    <w:p>
      <w:pPr>
        <w:spacing w:after="120" w:before="320"/>
      </w:pPr>
      <w:r>
        <w:rPr>
          <w:rFonts w:ascii="Arial" w:cs="Arial" w:eastAsia="Arial" w:hAnsi="Arial"/>
          <w:b/>
          <w:bCs/>
          <w:color w:val="1B3A5C"/>
          <w:sz w:val="18"/>
          <w:szCs w:val="18"/>
        </w:rPr>
        <w:t xml:space="preserve">THEME EVOLUTION NOTES</w:t>
      </w:r>
    </w:p>
    <w:p>
      <w:pPr>
        <w:spacing w:after="160" w:before="0"/>
      </w:pPr>
      <w:r>
        <w:rPr>
          <w:rFonts w:ascii="Arial" w:cs="Arial" w:eastAsia="Arial" w:hAnsi="Arial"/>
          <w:color w:val="4A5568"/>
          <w:sz w:val="20"/>
          <w:szCs w:val="20"/>
        </w:rPr>
        <w:t xml:space="preserve">Leadership is the most broadly covered theme in the library — virtually every book engages with it. The library's treatment is strongest at the individual and team levels. As the library grows, texts addressing organizational culture-building, leading through institutional transformation, and the specific dynamics of civilian board governance represent identified expansion areas.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2026-06-12T17:08:06.651Z</dcterms:created>
  <dcterms:modified xsi:type="dcterms:W3CDTF">2026-06-12T17:08:06.662Z</dcterms:modified>
</cp:coreProperties>
</file>

<file path=docProps/custom.xml><?xml version="1.0" encoding="utf-8"?>
<Properties xmlns="http://schemas.openxmlformats.org/officeDocument/2006/custom-properties" xmlns:vt="http://schemas.openxmlformats.org/officeDocument/2006/docPropsVTypes"/>
</file>