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Arial" w:cs="Arial" w:eastAsia="Arial" w:hAnsi="Arial"/>
          <w:b/>
          <w:bCs/>
          <w:color w:val="1B2A4A"/>
          <w:sz w:val="48"/>
          <w:szCs w:val="48"/>
        </w:rPr>
        <w:t xml:space="preserve">WISDOM BRIEF</w:t>
      </w:r>
    </w:p>
    <w:p>
      <w:pPr>
        <w:pBdr>
          <w:bottom w:val="single" w:color="A5843A" w:sz="12" w:space="1"/>
        </w:pBdr>
        <w:spacing w:after="80" w:before="80"/>
      </w:pPr>
    </w:p>
    <w:p>
      <w:pPr>
        <w:spacing w:after="0" w:before="120"/>
      </w:pPr>
    </w:p>
    <w:p>
      <w:pPr>
        <w:spacing w:after="80" w:before="0"/>
        <w:jc w:val="center"/>
      </w:pPr>
      <w:r>
        <w:rPr>
          <w:rFonts w:ascii="Arial" w:cs="Arial" w:eastAsia="Arial" w:hAnsi="Arial"/>
          <w:i/>
          <w:iCs/>
          <w:color w:val="A5843A"/>
          <w:sz w:val="24"/>
          <w:szCs w:val="24"/>
        </w:rPr>
        <w:t xml:space="preserve">What Great Books Teach About Identity Beyond Rank</w:t>
      </w:r>
    </w:p>
    <w:p>
      <w:pPr>
        <w:spacing w:after="0" w:before="200"/>
      </w:pPr>
    </w:p>
    <w:p>
      <w:pPr>
        <w:spacing w:after="60" w:before="0"/>
        <w:jc w:val="center"/>
      </w:pPr>
      <w:r>
        <w:rPr>
          <w:rFonts w:ascii="Arial" w:cs="Arial" w:eastAsia="Arial" w:hAnsi="Arial"/>
          <w:color w:val="6B7A8D"/>
          <w:sz w:val="20"/>
          <w:szCs w:val="20"/>
        </w:rPr>
        <w:t xml:space="preserve">Leadership Through Transition  ·  Cross-Library Synthesis</w:t>
      </w:r>
    </w:p>
    <w:p>
      <w:pPr>
        <w:spacing w:after="60" w:before="0"/>
        <w:jc w:val="center"/>
      </w:pPr>
      <w:r>
        <w:rPr>
          <w:rFonts w:ascii="Arial" w:cs="Arial" w:eastAsia="Arial" w:hAnsi="Arial"/>
          <w:color w:val="6B7A8D"/>
          <w:sz w:val="20"/>
          <w:szCs w:val="20"/>
        </w:rPr>
        <w:t xml:space="preserve">15 Completed Entries  ·  Version 1.0  ·  June 2025</w:t>
      </w:r>
    </w:p>
    <w:p>
      <w:pPr>
        <w:spacing w:after="0" w:before="300"/>
      </w:pPr>
    </w:p>
    <w:p>
      <w:pPr>
        <w:pBdr>
          <w:bottom w:val="single" w:color="1B2A4A" w:sz="8" w:space="1"/>
        </w:pBdr>
        <w:spacing w:after="80" w:before="80"/>
      </w:pPr>
    </w:p>
    <w:p>
      <w:pPr>
        <w:spacing w:after="0" w:before="160"/>
      </w:pPr>
    </w:p>
    <w:p>
      <w:pPr>
        <w:spacing w:after="80" w:before="0"/>
        <w:jc w:val="center"/>
      </w:pPr>
      <w:r>
        <w:rPr>
          <w:rFonts w:ascii="Arial" w:cs="Arial" w:eastAsia="Arial" w:hAnsi="Arial"/>
          <w:b/>
          <w:bCs/>
          <w:caps/>
          <w:color w:val="A5843A"/>
          <w:sz w:val="20"/>
          <w:szCs w:val="20"/>
        </w:rPr>
        <w:t xml:space="preserve">BOOKS IN THIS SYNTHESIS</w:t>
      </w:r>
    </w:p>
    <w:p>
      <w:pPr>
        <w:spacing w:after="0" w:before="60"/>
      </w:pPr>
    </w:p>
    <w:p>
      <w:pPr>
        <w:spacing w:after="24" w:before="24"/>
        <w:jc w:val="center"/>
      </w:pPr>
      <w:r>
        <w:rPr>
          <w:rFonts w:ascii="Arial" w:cs="Arial" w:eastAsia="Arial" w:hAnsi="Arial"/>
          <w:color w:val="6B7A8D"/>
          <w:sz w:val="19"/>
          <w:szCs w:val="19"/>
        </w:rPr>
        <w:t xml:space="preserve">Man's Search for Meaning · Viktor Frankl</w:t>
      </w:r>
    </w:p>
    <w:p>
      <w:pPr>
        <w:spacing w:after="24" w:before="24"/>
        <w:jc w:val="center"/>
      </w:pPr>
      <w:r>
        <w:rPr>
          <w:rFonts w:ascii="Arial" w:cs="Arial" w:eastAsia="Arial" w:hAnsi="Arial"/>
          <w:color w:val="6B7A8D"/>
          <w:sz w:val="19"/>
          <w:szCs w:val="19"/>
        </w:rPr>
        <w:t xml:space="preserve">Meditations · Marcus Aurelius</w:t>
      </w:r>
    </w:p>
    <w:p>
      <w:pPr>
        <w:spacing w:after="24" w:before="24"/>
        <w:jc w:val="center"/>
      </w:pPr>
      <w:r>
        <w:rPr>
          <w:rFonts w:ascii="Arial" w:cs="Arial" w:eastAsia="Arial" w:hAnsi="Arial"/>
          <w:color w:val="6B7A8D"/>
          <w:sz w:val="19"/>
          <w:szCs w:val="19"/>
        </w:rPr>
        <w:t xml:space="preserve">Ego Is the Enemy · Ryan Holiday</w:t>
      </w:r>
    </w:p>
    <w:p>
      <w:pPr>
        <w:spacing w:after="24" w:before="24"/>
        <w:jc w:val="center"/>
      </w:pPr>
      <w:r>
        <w:rPr>
          <w:rFonts w:ascii="Arial" w:cs="Arial" w:eastAsia="Arial" w:hAnsi="Arial"/>
          <w:color w:val="6B7A8D"/>
          <w:sz w:val="19"/>
          <w:szCs w:val="19"/>
        </w:rPr>
        <w:t xml:space="preserve">The 7 Habits of Highly Effective People · Stephen Covey</w:t>
      </w:r>
    </w:p>
    <w:p>
      <w:pPr>
        <w:spacing w:after="24" w:before="24"/>
        <w:jc w:val="center"/>
      </w:pPr>
      <w:r>
        <w:rPr>
          <w:rFonts w:ascii="Arial" w:cs="Arial" w:eastAsia="Arial" w:hAnsi="Arial"/>
          <w:color w:val="6B7A8D"/>
          <w:sz w:val="19"/>
          <w:szCs w:val="19"/>
        </w:rPr>
        <w:t xml:space="preserve">The Servant as Leader · Robert Greenleaf</w:t>
      </w:r>
    </w:p>
    <w:p>
      <w:pPr>
        <w:spacing w:after="24" w:before="24"/>
        <w:jc w:val="center"/>
      </w:pPr>
      <w:r>
        <w:rPr>
          <w:rFonts w:ascii="Arial" w:cs="Arial" w:eastAsia="Arial" w:hAnsi="Arial"/>
          <w:color w:val="6B7A8D"/>
          <w:sz w:val="19"/>
          <w:szCs w:val="19"/>
        </w:rPr>
        <w:t xml:space="preserve">Leadership and Self-Deception · The Arbinger Institute</w:t>
      </w:r>
    </w:p>
    <w:p>
      <w:pPr>
        <w:spacing w:after="24" w:before="24"/>
        <w:jc w:val="center"/>
      </w:pPr>
      <w:r>
        <w:rPr>
          <w:rFonts w:ascii="Arial" w:cs="Arial" w:eastAsia="Arial" w:hAnsi="Arial"/>
          <w:color w:val="6B7A8D"/>
          <w:sz w:val="19"/>
          <w:szCs w:val="19"/>
        </w:rPr>
        <w:t xml:space="preserve">Start With Why · Simon Sinek</w:t>
      </w:r>
    </w:p>
    <w:p>
      <w:pPr>
        <w:spacing w:after="24" w:before="24"/>
        <w:jc w:val="center"/>
      </w:pPr>
      <w:r>
        <w:rPr>
          <w:rFonts w:ascii="Arial" w:cs="Arial" w:eastAsia="Arial" w:hAnsi="Arial"/>
          <w:color w:val="6B7A8D"/>
          <w:sz w:val="19"/>
          <w:szCs w:val="19"/>
        </w:rPr>
        <w:t xml:space="preserve">The Obstacle Is the Way · Ryan Holiday</w:t>
      </w:r>
    </w:p>
    <w:p>
      <w:pPr>
        <w:spacing w:after="24" w:before="24"/>
        <w:jc w:val="center"/>
      </w:pPr>
      <w:r>
        <w:rPr>
          <w:rFonts w:ascii="Arial" w:cs="Arial" w:eastAsia="Arial" w:hAnsi="Arial"/>
          <w:color w:val="6B7A8D"/>
          <w:sz w:val="19"/>
          <w:szCs w:val="19"/>
        </w:rPr>
        <w:t xml:space="preserve">Extreme Ownership · Willink &amp; Babin</w:t>
      </w:r>
    </w:p>
    <w:p>
      <w:pPr>
        <w:spacing w:after="24" w:before="24"/>
        <w:jc w:val="center"/>
      </w:pPr>
      <w:r>
        <w:rPr>
          <w:rFonts w:ascii="Arial" w:cs="Arial" w:eastAsia="Arial" w:hAnsi="Arial"/>
          <w:color w:val="6B7A8D"/>
          <w:sz w:val="19"/>
          <w:szCs w:val="19"/>
        </w:rPr>
        <w:t xml:space="preserve">Essentialism · Greg McKeown</w:t>
      </w:r>
    </w:p>
    <w:p>
      <w:pPr>
        <w:spacing w:after="24" w:before="24"/>
        <w:jc w:val="center"/>
      </w:pPr>
      <w:r>
        <w:rPr>
          <w:rFonts w:ascii="Arial" w:cs="Arial" w:eastAsia="Arial" w:hAnsi="Arial"/>
          <w:color w:val="6B7A8D"/>
          <w:sz w:val="19"/>
          <w:szCs w:val="19"/>
        </w:rPr>
        <w:t xml:space="preserve">Leaders Eat Last · Simon Sinek</w:t>
      </w:r>
    </w:p>
    <w:p>
      <w:pPr>
        <w:spacing w:after="24" w:before="24"/>
        <w:jc w:val="center"/>
      </w:pPr>
      <w:r>
        <w:rPr>
          <w:rFonts w:ascii="Arial" w:cs="Arial" w:eastAsia="Arial" w:hAnsi="Arial"/>
          <w:color w:val="6B7A8D"/>
          <w:sz w:val="19"/>
          <w:szCs w:val="19"/>
        </w:rPr>
        <w:t xml:space="preserve">Good to Great · Jim Collins</w:t>
      </w:r>
    </w:p>
    <w:p>
      <w:pPr>
        <w:spacing w:after="24" w:before="24"/>
        <w:jc w:val="center"/>
      </w:pPr>
      <w:r>
        <w:rPr>
          <w:rFonts w:ascii="Arial" w:cs="Arial" w:eastAsia="Arial" w:hAnsi="Arial"/>
          <w:color w:val="6B7A8D"/>
          <w:sz w:val="19"/>
          <w:szCs w:val="19"/>
        </w:rPr>
        <w:t xml:space="preserve">The Five Dysfunctions of a Team · Patrick Lencioni</w:t>
      </w:r>
    </w:p>
    <w:p>
      <w:pPr>
        <w:spacing w:after="24" w:before="24"/>
        <w:jc w:val="center"/>
      </w:pPr>
      <w:r>
        <w:rPr>
          <w:rFonts w:ascii="Arial" w:cs="Arial" w:eastAsia="Arial" w:hAnsi="Arial"/>
          <w:color w:val="6B7A8D"/>
          <w:sz w:val="19"/>
          <w:szCs w:val="19"/>
        </w:rPr>
        <w:t xml:space="preserve">The Infinite Game · Simon Sinek</w:t>
      </w:r>
    </w:p>
    <w:p>
      <w:pPr>
        <w:spacing w:after="24" w:before="24"/>
        <w:jc w:val="center"/>
      </w:pPr>
      <w:r>
        <w:rPr>
          <w:rFonts w:ascii="Arial" w:cs="Arial" w:eastAsia="Arial" w:hAnsi="Arial"/>
          <w:color w:val="6B7A8D"/>
          <w:sz w:val="19"/>
          <w:szCs w:val="19"/>
        </w:rPr>
        <w:t xml:space="preserve">The First 90 Days · Michael Watkins</w:t>
      </w:r>
    </w:p>
    <w:p>
      <w:pPr>
        <w:spacing w:after="0" w:before="200"/>
      </w:pPr>
    </w:p>
    <w:p>
      <w:r>
        <w:br w:type="page"/>
      </w:r>
    </w:p>
    <w:p>
      <w:pPr>
        <w:spacing w:after="120" w:before="320"/>
      </w:pPr>
      <w:r>
        <w:rPr>
          <w:rFonts w:ascii="Arial" w:cs="Arial" w:eastAsia="Arial" w:hAnsi="Arial"/>
          <w:b/>
          <w:bCs/>
          <w:caps/>
          <w:color w:val="1B2A4A"/>
          <w:sz w:val="28"/>
          <w:szCs w:val="28"/>
        </w:rPr>
        <w:t xml:space="preserve">What This Brief Is</w:t>
      </w:r>
    </w:p>
    <w:p>
      <w:pPr>
        <w:pBdr>
          <w:bottom w:val="single" w:color="A5843A" w:sz="6" w:space="1"/>
        </w:pBdr>
        <w:spacing w:after="80" w:before="80"/>
      </w:pPr>
    </w:p>
    <w:p>
      <w:pPr>
        <w:spacing w:after="0" w:before="80"/>
      </w:pPr>
    </w:p>
    <w:p>
      <w:pPr>
        <w:spacing w:after="80" w:before="80"/>
      </w:pPr>
      <w:r>
        <w:rPr>
          <w:rFonts w:ascii="Arial" w:cs="Arial" w:eastAsia="Arial" w:hAnsi="Arial"/>
          <w:i w:val="false"/>
          <w:iCs w:val="false"/>
          <w:color w:val="2C2C2C"/>
          <w:sz w:val="22"/>
          <w:szCs w:val="22"/>
        </w:rPr>
        <w:t xml:space="preserve">A Wisdom Brief is a cross-library synthesis — a document that reads across all completed entries simultaneously and draws out what the accumulated evidence, taken as a whole, reveals. It is not a summary of fifteen books. It is an argument about what those fifteen books, together, teach about a single question that every military leader in transition faces.</w:t>
      </w:r>
    </w:p>
    <w:p>
      <w:pPr>
        <w:spacing w:after="0" w:before="60"/>
      </w:pPr>
    </w:p>
    <w:p>
      <w:pPr>
        <w:spacing w:after="80" w:before="80"/>
      </w:pPr>
      <w:r>
        <w:rPr>
          <w:rFonts w:ascii="Arial" w:cs="Arial" w:eastAsia="Arial" w:hAnsi="Arial"/>
          <w:i w:val="false"/>
          <w:iCs w:val="false"/>
          <w:color w:val="2C2C2C"/>
          <w:sz w:val="22"/>
          <w:szCs w:val="22"/>
        </w:rPr>
        <w:t xml:space="preserve">The question this Brief addresses: What do great books — spanning ancient Stoic philosophy, existential psychology, organizational science, military leadership, and practical frameworks for effectiveness — teach about who a leader is when the rank is gone? And what do their agreements, their disagreements, and their silences reveal that no single book can show on its own?</w:t>
      </w:r>
    </w:p>
    <w:p>
      <w:pPr>
        <w:spacing w:after="0" w:before="60"/>
      </w:pPr>
    </w:p>
    <w:p>
      <w:pPr>
        <w:spacing w:after="80" w:before="80"/>
      </w:pPr>
      <w:r>
        <w:rPr>
          <w:rFonts w:ascii="Arial" w:cs="Arial" w:eastAsia="Arial" w:hAnsi="Arial"/>
          <w:i w:val="false"/>
          <w:iCs w:val="false"/>
          <w:color w:val="2C2C2C"/>
          <w:sz w:val="22"/>
          <w:szCs w:val="22"/>
        </w:rPr>
        <w:t xml:space="preserve">This Brief is organized in five movements. The first three trace what the library's accumulated evidence most forcefully establishes. The fourth names where the library's authors genuinely disagree — and why those disagreements are worth sitting with rather than resolving too quickly. The fifth translates the synthesis into practical implications for the transition reader.</w:t>
      </w:r>
    </w:p>
    <w:p>
      <w:pPr>
        <w:spacing w:after="0" w:before="160"/>
      </w:pPr>
    </w:p>
    <w:p>
      <w:pPr>
        <w:spacing w:after="120" w:before="320"/>
      </w:pPr>
      <w:r>
        <w:rPr>
          <w:rFonts w:ascii="Arial" w:cs="Arial" w:eastAsia="Arial" w:hAnsi="Arial"/>
          <w:b/>
          <w:bCs/>
          <w:caps/>
          <w:color w:val="1B2A4A"/>
          <w:sz w:val="28"/>
          <w:szCs w:val="28"/>
        </w:rPr>
        <w:t xml:space="preserve">I. The Architecture of the Question</w:t>
      </w:r>
    </w:p>
    <w:p>
      <w:pPr>
        <w:pBdr>
          <w:bottom w:val="single" w:color="1B2A4A" w:sz="6" w:space="1"/>
        </w:pBdr>
        <w:spacing w:after="80" w:before="80"/>
      </w:pPr>
    </w:p>
    <w:p>
      <w:pPr>
        <w:spacing w:after="0" w:before="100"/>
      </w:pPr>
    </w:p>
    <w:p>
      <w:pPr>
        <w:spacing w:after="80" w:before="80"/>
      </w:pPr>
      <w:r>
        <w:rPr>
          <w:rFonts w:ascii="Arial" w:cs="Arial" w:eastAsia="Arial" w:hAnsi="Arial"/>
          <w:i w:val="false"/>
          <w:iCs w:val="false"/>
          <w:color w:val="2C2C2C"/>
          <w:sz w:val="22"/>
          <w:szCs w:val="22"/>
        </w:rPr>
        <w:t xml:space="preserve">Identity is the library's most densely connected theme — present in every entry, addressed across every intellectual tradition represented in the collection. But the library's fifteen books do not all ask the question the same way, and understanding their different framings is the prerequisite for understanding what their convergences reveal.</w:t>
      </w:r>
    </w:p>
    <w:p>
      <w:pPr>
        <w:spacing w:after="0" w:before="80"/>
      </w:pPr>
    </w:p>
    <w:p>
      <w:pPr>
        <w:spacing w:after="80" w:before="200"/>
      </w:pPr>
      <w:r>
        <w:rPr>
          <w:rFonts w:ascii="Arial" w:cs="Arial" w:eastAsia="Arial" w:hAnsi="Arial"/>
          <w:b/>
          <w:bCs/>
          <w:color w:val="3A5068"/>
          <w:sz w:val="24"/>
          <w:szCs w:val="24"/>
        </w:rPr>
        <w:t xml:space="preserve">Three Versions of the Identity Question</w:t>
      </w:r>
    </w:p>
    <w:p>
      <w:pPr>
        <w:spacing w:after="80" w:before="80"/>
      </w:pPr>
      <w:r>
        <w:rPr>
          <w:rFonts w:ascii="Arial" w:cs="Arial" w:eastAsia="Arial" w:hAnsi="Arial"/>
          <w:i w:val="false"/>
          <w:iCs w:val="false"/>
          <w:color w:val="2C2C2C"/>
          <w:sz w:val="22"/>
          <w:szCs w:val="22"/>
        </w:rPr>
        <w:t xml:space="preserve">The first version is diagnostic: what is the identity structure that military service builds, and why is it vulnerable at transition? Frankl, Holiday, and the Arbinger Institute approach the question this way. Frankl identifies the existential vacuum that forms when the institution that organized meaning disappears. Holiday names the ego — the self constructed from rank, recognition, and institutional belonging — as the specific mechanism that makes transition painful. Arbinger locates the distortion more precisely: the leader whose self-image has become so protected by institutional confirmation that accurate self-examination is no longer available to them.</w:t>
      </w:r>
    </w:p>
    <w:p>
      <w:pPr>
        <w:spacing w:after="0" w:before="80"/>
      </w:pPr>
    </w:p>
    <w:p>
      <w:pPr>
        <w:spacing w:after="80" w:before="80"/>
      </w:pPr>
      <w:r>
        <w:rPr>
          <w:rFonts w:ascii="Arial" w:cs="Arial" w:eastAsia="Arial" w:hAnsi="Arial"/>
          <w:i w:val="false"/>
          <w:iCs w:val="false"/>
          <w:color w:val="2C2C2C"/>
          <w:sz w:val="22"/>
          <w:szCs w:val="22"/>
        </w:rPr>
        <w:t xml:space="preserve">The second version is prescriptive: what does durable identity look like, and how is it built? Aurelius, Covey, and Greenleaf work in this register. Aurelius demonstrates the daily practice of keeping character separate from position — not as advice but as the record of someone doing the work across decades of private journaling under the weight of the most powerful office in the Western world. Covey systematizes the same project in the character ethic and the private victory sequence. Greenleaf names its positive direction: the self that survives the rank is the one that was always oriented toward the growth of others.</w:t>
      </w:r>
    </w:p>
    <w:p>
      <w:pPr>
        <w:spacing w:after="0" w:before="80"/>
      </w:pPr>
    </w:p>
    <w:p>
      <w:pPr>
        <w:spacing w:after="80" w:before="80"/>
      </w:pPr>
      <w:r>
        <w:rPr>
          <w:rFonts w:ascii="Arial" w:cs="Arial" w:eastAsia="Arial" w:hAnsi="Arial"/>
          <w:i w:val="false"/>
          <w:iCs w:val="false"/>
          <w:color w:val="2C2C2C"/>
          <w:sz w:val="22"/>
          <w:szCs w:val="22"/>
        </w:rPr>
        <w:t xml:space="preserve">The third version is structural: what are the organizational and biological conditions that shaped military identity so completely, and what does rebuilding something comparably solid actually require? Sinek (in all three books of his trilogy) and Lencioni work here. Sinek's biology of belonging explains why military identity felt the way it did — not as a side effect of the career but as the neurochemical product of specific conditions that the institution engineered over centuries. Lencioni maps what those conditions produced in team trust, and what the civilian leader must build deliberately when they are absent.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A5843A" w:sz="8"/>
              <w:left w:val="thick" w:color="A5843A" w:sz="16"/>
              <w:bottom w:val="single" w:color="A5843A" w:sz="8"/>
              <w:right w:val="nil"/>
            </w:tcBorders>
            <w:shd w:fill="F4F5F6" w:val="clear"/>
            <w:tcMar>
              <w:top w:type="dxa" w:w="120"/>
              <w:left w:type="dxa" w:w="200"/>
              <w:bottom w:type="dxa" w:w="120"/>
              <w:right w:type="dxa" w:w="160"/>
            </w:tcMar>
          </w:tcPr>
          <w:p>
            <w:r>
              <w:rPr>
                <w:rFonts w:ascii="Arial" w:cs="Arial" w:eastAsia="Arial" w:hAnsi="Arial"/>
                <w:i/>
                <w:iCs/>
                <w:color w:val="2C2C2C"/>
                <w:sz w:val="22"/>
                <w:szCs w:val="22"/>
              </w:rPr>
              <w:t xml:space="preserve">The synthesis observation: the library is not asking one question about identity — it is asking three simultaneously. Diagnosis (what broke), construction (what to build instead), and structure (what conditions made the original and will sustain the replacement). A reader who addresses only one of the three has done partial work.</w:t>
            </w:r>
          </w:p>
        </w:tc>
      </w:tr>
    </w:tbl>
    <w:p>
      <w:pPr>
        <w:spacing w:after="0" w:before="200"/>
      </w:pPr>
    </w:p>
    <w:p>
      <w:pPr>
        <w:spacing w:after="120" w:before="320"/>
      </w:pPr>
      <w:r>
        <w:rPr>
          <w:rFonts w:ascii="Arial" w:cs="Arial" w:eastAsia="Arial" w:hAnsi="Arial"/>
          <w:b/>
          <w:bCs/>
          <w:caps/>
          <w:color w:val="1B2A4A"/>
          <w:sz w:val="28"/>
          <w:szCs w:val="28"/>
        </w:rPr>
        <w:t xml:space="preserve">II. Where the Books Converge</w:t>
      </w:r>
    </w:p>
    <w:p>
      <w:pPr>
        <w:pBdr>
          <w:bottom w:val="single" w:color="1B2A4A" w:sz="6" w:space="1"/>
        </w:pBdr>
        <w:spacing w:after="80" w:before="80"/>
      </w:pPr>
    </w:p>
    <w:p>
      <w:pPr>
        <w:spacing w:after="0" w:before="60"/>
      </w:pPr>
    </w:p>
    <w:p>
      <w:pPr>
        <w:spacing w:after="80" w:before="80"/>
      </w:pPr>
      <w:r>
        <w:rPr>
          <w:rFonts w:ascii="Arial" w:cs="Arial" w:eastAsia="Arial" w:hAnsi="Arial"/>
          <w:i/>
          <w:iCs/>
          <w:color w:val="2C2C2C"/>
          <w:sz w:val="22"/>
          <w:szCs w:val="22"/>
        </w:rPr>
        <w:t xml:space="preserve">The library's most important evidence is convergence — the appearance of the same essential insight across books separated by tradition, era, and method. What follows are the five convergences the accumulated evidence most strongly establishes.</w:t>
      </w:r>
    </w:p>
    <w:p>
      <w:pPr>
        <w:spacing w:after="0" w:before="120"/>
      </w:pPr>
    </w:p>
    <w:p>
      <w:pPr>
        <w:spacing w:after="80" w:before="200"/>
      </w:pPr>
      <w:r>
        <w:rPr>
          <w:rFonts w:ascii="Arial" w:cs="Arial" w:eastAsia="Arial" w:hAnsi="Arial"/>
          <w:b/>
          <w:bCs/>
          <w:color w:val="3A5068"/>
          <w:sz w:val="24"/>
          <w:szCs w:val="24"/>
        </w:rPr>
        <w:t xml:space="preserve">Convergence 1 · The Self Built on External Validation Does Not Survive Transition</w:t>
      </w:r>
    </w:p>
    <w:p>
      <w:pPr>
        <w:spacing w:after="80" w:before="80"/>
      </w:pPr>
      <w:r>
        <w:rPr>
          <w:rFonts w:ascii="Arial" w:cs="Arial" w:eastAsia="Arial" w:hAnsi="Arial"/>
          <w:i w:val="false"/>
          <w:iCs w:val="false"/>
          <w:color w:val="2C2C2C"/>
          <w:sz w:val="22"/>
          <w:szCs w:val="22"/>
        </w:rPr>
        <w:t xml:space="preserve">This is the library's most consistent finding, and it arrives from so many different directions simultaneously that its repetition across traditions amounts to something close to proof.</w:t>
      </w:r>
    </w:p>
    <w:p>
      <w:pPr>
        <w:spacing w:after="0" w:before="60"/>
      </w:pPr>
    </w:p>
    <w:p>
      <w:pPr>
        <w:spacing w:after="80" w:before="80"/>
      </w:pPr>
      <w:r>
        <w:rPr>
          <w:rFonts w:ascii="Arial" w:cs="Arial" w:eastAsia="Arial" w:hAnsi="Arial"/>
          <w:i w:val="false"/>
          <w:iCs w:val="false"/>
          <w:color w:val="2C2C2C"/>
          <w:sz w:val="22"/>
          <w:szCs w:val="22"/>
        </w:rPr>
        <w:t xml:space="preserve">Frankl observes it in the survivors of the concentration camps: those whose interior lives collapsed were, almost uniformly, those whose sense of self had been tethered to an external world that the camps destroyed — status, achievement, professional standing, the approval of others. Holiday translates the same observation into the specific vocabulary of ego: the self assembled from recognition, rank, and institutional belonging is not a stable self at all. It is a performance of self, dependent on an audience that can always leave. Aurelius, writing from the opposite end of the power spectrum, returns to the same point in nearly every entry of the Meditations: the throne is not the man, the position is not the virtue, and the leader who has confused the two has built their identity on ground that can be reclaimed.</w:t>
      </w:r>
    </w:p>
    <w:p>
      <w:pPr>
        <w:spacing w:after="0" w:before="60"/>
      </w:pPr>
    </w:p>
    <w:p>
      <w:pPr>
        <w:spacing w:after="80" w:before="80"/>
      </w:pPr>
      <w:r>
        <w:rPr>
          <w:rFonts w:ascii="Arial" w:cs="Arial" w:eastAsia="Arial" w:hAnsi="Arial"/>
          <w:i w:val="false"/>
          <w:iCs w:val="false"/>
          <w:color w:val="2C2C2C"/>
          <w:sz w:val="22"/>
          <w:szCs w:val="22"/>
        </w:rPr>
        <w:t xml:space="preserve">Covey arrives at the same finding through the character ethic: the personality ethic — the substitution of image, technique, and positional authority for genuine character — produces an effectiveness that is conditional on the institution that enables it. Collins arrives at it through comparative organizational research: the leaders whose effectiveness outlasted any single role were those who directed ambition toward the institution rather than toward themselves, building something that did not depend on their continued presence to function. The Arbinger Institute makes the most psychologically precise version of the claim: self-deception — the distortion of perception in service of a self-justifying narrative — is not a failure of intelligence or values. It is what happens to any leader whose self-image has been protected and confirmed by institutional authority for long enough that the feedback loops which would otherwise correct it have atrophied.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A5843A" w:sz="8"/>
              <w:left w:val="thick" w:color="A5843A" w:sz="16"/>
              <w:bottom w:val="single" w:color="A5843A" w:sz="8"/>
              <w:right w:val="nil"/>
            </w:tcBorders>
            <w:shd w:fill="F4F5F6" w:val="clear"/>
            <w:tcMar>
              <w:top w:type="dxa" w:w="120"/>
              <w:left w:type="dxa" w:w="200"/>
              <w:bottom w:type="dxa" w:w="120"/>
              <w:right w:type="dxa" w:w="160"/>
            </w:tcMar>
          </w:tcPr>
          <w:p>
            <w:r>
              <w:rPr>
                <w:rFonts w:ascii="Arial" w:cs="Arial" w:eastAsia="Arial" w:hAnsi="Arial"/>
                <w:i/>
                <w:iCs/>
                <w:color w:val="2C2C2C"/>
                <w:sz w:val="22"/>
                <w:szCs w:val="22"/>
              </w:rPr>
              <w:t xml:space="preserve">What the convergence across six independent approaches reveals: the vulnerability of position-based identity is not a military problem or a transition problem. It is a permanent feature of human psychology under conditions of sustained external confirmation. The military career is not unusual in building it. It is unusual in the completeness with which it builds it — and in the abruptness with which the conditions that maintained it are removed.</w:t>
            </w:r>
          </w:p>
        </w:tc>
      </w:tr>
    </w:tbl>
    <w:p>
      <w:pPr>
        <w:spacing w:after="0" w:before="160"/>
      </w:pPr>
    </w:p>
    <w:p>
      <w:pPr>
        <w:spacing w:after="80" w:before="200"/>
      </w:pPr>
      <w:r>
        <w:rPr>
          <w:rFonts w:ascii="Arial" w:cs="Arial" w:eastAsia="Arial" w:hAnsi="Arial"/>
          <w:b/>
          <w:bCs/>
          <w:color w:val="3A5068"/>
          <w:sz w:val="24"/>
          <w:szCs w:val="24"/>
        </w:rPr>
        <w:t xml:space="preserve">Convergence 2 · The Interior Life Is the Only Domain of Genuine Freedom</w:t>
      </w:r>
    </w:p>
    <w:p>
      <w:pPr>
        <w:spacing w:after="80" w:before="80"/>
      </w:pPr>
      <w:r>
        <w:rPr>
          <w:rFonts w:ascii="Arial" w:cs="Arial" w:eastAsia="Arial" w:hAnsi="Arial"/>
          <w:i w:val="false"/>
          <w:iCs w:val="false"/>
          <w:color w:val="2C2C2C"/>
          <w:sz w:val="22"/>
          <w:szCs w:val="22"/>
        </w:rPr>
        <w:t xml:space="preserve">The most structurally significant convergence in the entire library runs between Frankl and Aurelius — and then forward into Holiday, Covey, and Collins by extension. All of them arrive at a claim that sounds simple until you examine how it was arrived at: the one thing circumstance cannot take is the quality of the leader's interior response to what is happening.</w:t>
      </w:r>
    </w:p>
    <w:p>
      <w:pPr>
        <w:spacing w:after="0" w:before="60"/>
      </w:pPr>
    </w:p>
    <w:p>
      <w:pPr>
        <w:spacing w:after="80" w:before="80"/>
      </w:pPr>
      <w:r>
        <w:rPr>
          <w:rFonts w:ascii="Arial" w:cs="Arial" w:eastAsia="Arial" w:hAnsi="Arial"/>
          <w:i w:val="false"/>
          <w:iCs w:val="false"/>
          <w:color w:val="2C2C2C"/>
          <w:sz w:val="22"/>
          <w:szCs w:val="22"/>
        </w:rPr>
        <w:t xml:space="preserve">Frankl calls it the last human freedom. He found it in a place where every other freedom had been removed, and his testimony carries an evidential weight that no purely philosophical argument can match: this observation was not made in comfortable circumstances. Aurelius, writing from the most powerful position in the Roman world, arrives at the identical conclusion from the opposite direction — a man who had everything the external world could offer and spent his private journals insisting that none of it was the point. That these two figures, separated by nineteen centuries and positioned at opposite extremes of human circumstance, reached the same essential claim about interior freedom is not a coincidence. It is the library's strongest single evidence for what is actually true.</w:t>
      </w:r>
    </w:p>
    <w:p>
      <w:pPr>
        <w:spacing w:after="0" w:before="60"/>
      </w:pPr>
    </w:p>
    <w:p>
      <w:pPr>
        <w:spacing w:after="80" w:before="80"/>
      </w:pPr>
      <w:r>
        <w:rPr>
          <w:rFonts w:ascii="Arial" w:cs="Arial" w:eastAsia="Arial" w:hAnsi="Arial"/>
          <w:i w:val="false"/>
          <w:iCs w:val="false"/>
          <w:color w:val="2C2C2C"/>
          <w:sz w:val="22"/>
          <w:szCs w:val="22"/>
        </w:rPr>
        <w:t xml:space="preserve">Holiday extends this into the three disciplines of perception, action, and will — a practical architecture for living the Frankl-Aurelius claim under the specific conditions of leadership adversity. Covey's first habit — Be Proactive — is built on the same philosophical foundation: between stimulus and response there is a space, and in that space lies the freedom that defines character. Greenleaf's servant-leader orientation carries the same insight into the relational domain: the leader who chooses service as their orientation, rather than having it assigned by rank, has exercised exactly the interior freedom Frankl describes.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A5843A" w:sz="8"/>
              <w:left w:val="thick" w:color="A5843A" w:sz="16"/>
              <w:bottom w:val="single" w:color="A5843A" w:sz="8"/>
              <w:right w:val="nil"/>
            </w:tcBorders>
            <w:shd w:fill="F4F5F6" w:val="clear"/>
            <w:tcMar>
              <w:top w:type="dxa" w:w="120"/>
              <w:left w:type="dxa" w:w="200"/>
              <w:bottom w:type="dxa" w:w="120"/>
              <w:right w:type="dxa" w:w="160"/>
            </w:tcMar>
          </w:tcPr>
          <w:p>
            <w:r>
              <w:rPr>
                <w:rFonts w:ascii="Arial" w:cs="Arial" w:eastAsia="Arial" w:hAnsi="Arial"/>
                <w:i/>
                <w:iCs/>
                <w:color w:val="2C2C2C"/>
                <w:sz w:val="22"/>
                <w:szCs w:val="22"/>
              </w:rPr>
              <w:t xml:space="preserve">The practical implication for the transition reader is precise: transition's most significant losses are real, and the books do not minimize them. What the library establishes through this convergence is that something survives those losses intact — not because the leader is unusually resilient, but because the interior life was never the institution's to give or take. It was always there. Transition makes it visible.</w:t>
            </w:r>
          </w:p>
        </w:tc>
      </w:tr>
    </w:tbl>
    <w:p>
      <w:pPr>
        <w:spacing w:after="0" w:before="160"/>
      </w:pPr>
    </w:p>
    <w:p>
      <w:pPr>
        <w:spacing w:after="80" w:before="200"/>
      </w:pPr>
      <w:r>
        <w:rPr>
          <w:rFonts w:ascii="Arial" w:cs="Arial" w:eastAsia="Arial" w:hAnsi="Arial"/>
          <w:b/>
          <w:bCs/>
          <w:color w:val="3A5068"/>
          <w:sz w:val="24"/>
          <w:szCs w:val="24"/>
        </w:rPr>
        <w:t xml:space="preserve">Convergence 3 · Durable Identity Is Built from Service Outward, Not Ambition Inward</w:t>
      </w:r>
    </w:p>
    <w:p>
      <w:pPr>
        <w:spacing w:after="80" w:before="80"/>
      </w:pPr>
      <w:r>
        <w:rPr>
          <w:rFonts w:ascii="Arial" w:cs="Arial" w:eastAsia="Arial" w:hAnsi="Arial"/>
          <w:i w:val="false"/>
          <w:iCs w:val="false"/>
          <w:color w:val="2C2C2C"/>
          <w:sz w:val="22"/>
          <w:szCs w:val="22"/>
        </w:rPr>
        <w:t xml:space="preserve">The library's most morally demanding convergence runs across traditions that share no intellectual lineage and arrive at the same positive formulation: the self that outlasts the rank is the self that was never primarily about the rank.</w:t>
      </w:r>
    </w:p>
    <w:p>
      <w:pPr>
        <w:spacing w:after="0" w:before="60"/>
      </w:pPr>
    </w:p>
    <w:p>
      <w:pPr>
        <w:spacing w:after="80" w:before="80"/>
      </w:pPr>
      <w:r>
        <w:rPr>
          <w:rFonts w:ascii="Arial" w:cs="Arial" w:eastAsia="Arial" w:hAnsi="Arial"/>
          <w:i w:val="false"/>
          <w:iCs w:val="false"/>
          <w:color w:val="2C2C2C"/>
          <w:sz w:val="22"/>
          <w:szCs w:val="22"/>
        </w:rPr>
        <w:t xml:space="preserve">Greenleaf states it most directly: the servant-leader begins with a desire to serve, and only then aspires to lead. His test — do those served grow as persons? — is the most demanding measure in the library, and it is the one that most clearly distinguishes an identity built on service from an identity that performs service while remaining centered on advancement. Sinek's circle of safety arrives at the same point through organizational biology: the leader who genuinely places the welfare of the people in their care ahead of their own recognition triggers a neurochemical architecture of trust and belonging that position-based leadership cannot produce. Collins' Level 5 Leadership — the combination of fierce professional will with personal humility that directed ambition toward the institution rather than the self — is the same orientation as measured by systematic organizational research across decades of corporate performance data.</w:t>
      </w:r>
    </w:p>
    <w:p>
      <w:pPr>
        <w:spacing w:after="0" w:before="60"/>
      </w:pPr>
    </w:p>
    <w:p>
      <w:pPr>
        <w:spacing w:after="80" w:before="80"/>
      </w:pPr>
      <w:r>
        <w:rPr>
          <w:rFonts w:ascii="Arial" w:cs="Arial" w:eastAsia="Arial" w:hAnsi="Arial"/>
          <w:i w:val="false"/>
          <w:iCs w:val="false"/>
          <w:color w:val="2C2C2C"/>
          <w:sz w:val="22"/>
          <w:szCs w:val="22"/>
        </w:rPr>
        <w:t xml:space="preserve">Frankl provides the existential foundation beneath all three: meaning is found most reliably in contribution to something beyond the self, and identity rooted in that orientation is more resilient under adversity than identity rooted in personal achievement. The military leader who served because service was genuinely their orientation — not because the culture rewarded it, not because it was professionally advantageous — carries an identity that transition cannot dismantle, because the thing the identity was built on does not require the institution to remain true.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A5843A" w:sz="8"/>
              <w:left w:val="thick" w:color="A5843A" w:sz="16"/>
              <w:bottom w:val="single" w:color="A5843A" w:sz="8"/>
              <w:right w:val="nil"/>
            </w:tcBorders>
            <w:shd w:fill="F4F5F6" w:val="clear"/>
            <w:tcMar>
              <w:top w:type="dxa" w:w="120"/>
              <w:left w:type="dxa" w:w="200"/>
              <w:bottom w:type="dxa" w:w="120"/>
              <w:right w:type="dxa" w:w="160"/>
            </w:tcMar>
          </w:tcPr>
          <w:p>
            <w:r>
              <w:rPr>
                <w:rFonts w:ascii="Arial" w:cs="Arial" w:eastAsia="Arial" w:hAnsi="Arial"/>
                <w:i/>
                <w:iCs/>
                <w:color w:val="2C2C2C"/>
                <w:sz w:val="22"/>
                <w:szCs w:val="22"/>
              </w:rPr>
              <w:t xml:space="preserve">The harder question this convergence raises: did the leader serve because it was who they were, or because the institution was a reliable mechanism for rewarding service behavior? Transition is the test. The library does not pretend the distinction is always clean. What it establishes, across Frankl, Greenleaf, Aurelius, Sinek, and Collins, is that the distinction is real — and that recognizing it honestly is the beginning of the identity work transition requires.</w:t>
            </w:r>
          </w:p>
        </w:tc>
      </w:tr>
    </w:tbl>
    <w:p>
      <w:pPr>
        <w:spacing w:after="0" w:before="160"/>
      </w:pPr>
    </w:p>
    <w:p>
      <w:pPr>
        <w:spacing w:after="80" w:before="200"/>
      </w:pPr>
      <w:r>
        <w:rPr>
          <w:rFonts w:ascii="Arial" w:cs="Arial" w:eastAsia="Arial" w:hAnsi="Arial"/>
          <w:b/>
          <w:bCs/>
          <w:color w:val="3A5068"/>
          <w:sz w:val="24"/>
          <w:szCs w:val="24"/>
        </w:rPr>
        <w:t xml:space="preserve">Convergence 4 · Character Is a Practice, Not a Credential</w:t>
      </w:r>
    </w:p>
    <w:p>
      <w:pPr>
        <w:spacing w:after="80" w:before="80"/>
      </w:pPr>
      <w:r>
        <w:rPr>
          <w:rFonts w:ascii="Arial" w:cs="Arial" w:eastAsia="Arial" w:hAnsi="Arial"/>
          <w:i w:val="false"/>
          <w:iCs w:val="false"/>
          <w:color w:val="2C2C2C"/>
          <w:sz w:val="22"/>
          <w:szCs w:val="22"/>
        </w:rPr>
        <w:t xml:space="preserve">Aurelius states this with the most precision of any author in the library: character is not a credential earned once — it is a practice renewed daily, regardless of what position the leader holds. The Meditations are not the product of a person who had mastered the discipline. They are the record of someone returning to it, failing in various degrees, and beginning again. That form — the private journal of continuous recommitment — is the most honest evidence available for what the character ethic actually looks like from the inside.</w:t>
      </w:r>
    </w:p>
    <w:p>
      <w:pPr>
        <w:spacing w:after="0" w:before="60"/>
      </w:pPr>
    </w:p>
    <w:p>
      <w:pPr>
        <w:spacing w:after="80" w:before="80"/>
      </w:pPr>
      <w:r>
        <w:rPr>
          <w:rFonts w:ascii="Arial" w:cs="Arial" w:eastAsia="Arial" w:hAnsi="Arial"/>
          <w:i w:val="false"/>
          <w:iCs w:val="false"/>
          <w:color w:val="2C2C2C"/>
          <w:sz w:val="22"/>
          <w:szCs w:val="22"/>
        </w:rPr>
        <w:t xml:space="preserve">Covey systematizes the same project across seven habits structured as a developmental architecture rather than a checklist. Willink and Babin name it in the operational vocabulary of extreme ownership: the accountability orientation that takes complete responsibility for outcomes — not the outcomes one can take credit for, but all of them — is not a posture adopted for specific situations. It is the daily practice of a character disposition. The Arbinger Institute locates the failure mode precisely: the leader who is not practicing genuine self-examination is not failing to practice character. They are practicing its counterfeit — the performance of accountability while a self-deception operates beneath the surface that prevents its genuine exercise.</w:t>
      </w:r>
    </w:p>
    <w:p>
      <w:pPr>
        <w:spacing w:after="0" w:before="60"/>
      </w:pPr>
    </w:p>
    <w:p>
      <w:pPr>
        <w:spacing w:after="80" w:before="80"/>
      </w:pPr>
      <w:r>
        <w:rPr>
          <w:rFonts w:ascii="Arial" w:cs="Arial" w:eastAsia="Arial" w:hAnsi="Arial"/>
          <w:i w:val="false"/>
          <w:iCs w:val="false"/>
          <w:color w:val="2C2C2C"/>
          <w:sz w:val="22"/>
          <w:szCs w:val="22"/>
        </w:rPr>
        <w:t xml:space="preserve">What this convergence means for the transition reader is specific: the character you built across a military career is not a credential that requires validation in a new institutional context. It is a practice — and a practice is portable. It does not depend on the institution's confirmation to continue. It depends on the leader's daily recommitment to the standard they have spent decades refining. The transition disrupts the institutional context. It does not disrupt the practice, unless the leader allows the disruption of context to be misread as a disruption of character.</w:t>
      </w:r>
    </w:p>
    <w:p>
      <w:pPr>
        <w:spacing w:after="0" w:before="160"/>
      </w:pPr>
    </w:p>
    <w:p>
      <w:pPr>
        <w:spacing w:after="80" w:before="200"/>
      </w:pPr>
      <w:r>
        <w:rPr>
          <w:rFonts w:ascii="Arial" w:cs="Arial" w:eastAsia="Arial" w:hAnsi="Arial"/>
          <w:b/>
          <w:bCs/>
          <w:color w:val="3A5068"/>
          <w:sz w:val="24"/>
          <w:szCs w:val="24"/>
        </w:rPr>
        <w:t xml:space="preserve">Convergence 5 · The Belonging of Military Service Was Biological, Not Sentimental</w:t>
      </w:r>
    </w:p>
    <w:p>
      <w:pPr>
        <w:spacing w:after="80" w:before="80"/>
      </w:pPr>
      <w:r>
        <w:rPr>
          <w:rFonts w:ascii="Arial" w:cs="Arial" w:eastAsia="Arial" w:hAnsi="Arial"/>
          <w:i w:val="false"/>
          <w:iCs w:val="false"/>
          <w:color w:val="2C2C2C"/>
          <w:sz w:val="22"/>
          <w:szCs w:val="22"/>
        </w:rPr>
        <w:t xml:space="preserve">This is the library's most practically honest convergence, and the one most absent from conventional transition resources.</w:t>
      </w:r>
    </w:p>
    <w:p>
      <w:pPr>
        <w:spacing w:after="0" w:before="60"/>
      </w:pPr>
    </w:p>
    <w:p>
      <w:pPr>
        <w:spacing w:after="80" w:before="80"/>
      </w:pPr>
      <w:r>
        <w:rPr>
          <w:rFonts w:ascii="Arial" w:cs="Arial" w:eastAsia="Arial" w:hAnsi="Arial"/>
          <w:i w:val="false"/>
          <w:iCs w:val="false"/>
          <w:color w:val="2C2C2C"/>
          <w:sz w:val="22"/>
          <w:szCs w:val="22"/>
        </w:rPr>
        <w:t xml:space="preserve">Sinek's Leaders Eat Last provides the vocabulary that was previously missing: the belonging that military service generates is not sentimental. It is neurochemical. The specific conditions of the military environment — shared genuine risk, unambiguous mission, leaders who demonstrably place unit welfare above personal advancement, a culture that enforces mutual protection — trigger the release of social chemicals (serotonin and oxytocin) that produce the quality of trust, belonging, and willingness to sacrifice that military leaders describe when they try to explain to civilians what service felt like. The loss of those conditions at transition is registered in the body as well as the mind.</w:t>
      </w:r>
    </w:p>
    <w:p>
      <w:pPr>
        <w:spacing w:after="0" w:before="60"/>
      </w:pPr>
    </w:p>
    <w:p>
      <w:pPr>
        <w:spacing w:after="80" w:before="80"/>
      </w:pPr>
      <w:r>
        <w:rPr>
          <w:rFonts w:ascii="Arial" w:cs="Arial" w:eastAsia="Arial" w:hAnsi="Arial"/>
          <w:i w:val="false"/>
          <w:iCs w:val="false"/>
          <w:color w:val="2C2C2C"/>
          <w:sz w:val="22"/>
          <w:szCs w:val="22"/>
        </w:rPr>
        <w:t xml:space="preserve">Frankl's framework for the existential vacuum names the same loss at the psychological level: belonging to a community of shared purpose is one of the most powerful sources of meaning available to human beings, and its removal creates a vacuum whose dimensions most transition frameworks are not equipped to measure. Lencioni's five dysfunctions map the team-level consequences: the absence of vulnerability-based trust in civilian teams is, in large part, the consequence of the absence of the structural conditions that military institutions provide automatically. The civilian leader does not walk into a civilian team that lacks trust because the team members are deficient in character. They walk into a team that was never given the structural conditions that produce the trust the military leader experienced as a baseline.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A5843A" w:sz="8"/>
              <w:left w:val="thick" w:color="A5843A" w:sz="16"/>
              <w:bottom w:val="single" w:color="A5843A" w:sz="8"/>
              <w:right w:val="nil"/>
            </w:tcBorders>
            <w:shd w:fill="F4F5F6" w:val="clear"/>
            <w:tcMar>
              <w:top w:type="dxa" w:w="120"/>
              <w:left w:type="dxa" w:w="200"/>
              <w:bottom w:type="dxa" w:w="120"/>
              <w:right w:type="dxa" w:w="160"/>
            </w:tcMar>
          </w:tcPr>
          <w:p>
            <w:r>
              <w:rPr>
                <w:rFonts w:ascii="Arial" w:cs="Arial" w:eastAsia="Arial" w:hAnsi="Arial"/>
                <w:i/>
                <w:iCs/>
                <w:color w:val="2C2C2C"/>
                <w:sz w:val="22"/>
                <w:szCs w:val="22"/>
              </w:rPr>
              <w:t xml:space="preserve">The synthesis observation: military leaders who minimize their post-transition difficulty as sentiment or nostalgia are misdiagnosing the source. The loss is real, it is biological, and it requires acknowledgment before reconstruction is possible. What Sinek, Frankl, and Lencioni together establish is that the belonging was not a side effect of a good career. It was one of the most complete human community experiences available in modern institutional life. Naming that accurately — not inflating it, not minimizing it — is the prerequisite for understanding what the next chapter actually needs to build.</w:t>
            </w:r>
          </w:p>
        </w:tc>
      </w:tr>
    </w:tbl>
    <w:p>
      <w:pPr>
        <w:spacing w:after="0" w:before="200"/>
      </w:pPr>
    </w:p>
    <w:p>
      <w:pPr>
        <w:spacing w:after="120" w:before="320"/>
      </w:pPr>
      <w:r>
        <w:rPr>
          <w:rFonts w:ascii="Arial" w:cs="Arial" w:eastAsia="Arial" w:hAnsi="Arial"/>
          <w:b/>
          <w:bCs/>
          <w:caps/>
          <w:color w:val="1B2A4A"/>
          <w:sz w:val="28"/>
          <w:szCs w:val="28"/>
        </w:rPr>
        <w:t xml:space="preserve">III. Where the Books Disagree</w:t>
      </w:r>
    </w:p>
    <w:p>
      <w:pPr>
        <w:pBdr>
          <w:bottom w:val="single" w:color="1B2A4A" w:sz="6" w:space="1"/>
        </w:pBdr>
        <w:spacing w:after="80" w:before="80"/>
      </w:pPr>
    </w:p>
    <w:p>
      <w:pPr>
        <w:spacing w:after="0" w:before="60"/>
      </w:pPr>
    </w:p>
    <w:p>
      <w:pPr>
        <w:spacing w:after="80" w:before="80"/>
      </w:pPr>
      <w:r>
        <w:rPr>
          <w:rFonts w:ascii="Arial" w:cs="Arial" w:eastAsia="Arial" w:hAnsi="Arial"/>
          <w:i/>
          <w:iCs/>
          <w:color w:val="2C2C2C"/>
          <w:sz w:val="22"/>
          <w:szCs w:val="22"/>
        </w:rPr>
        <w:t xml:space="preserve">The library is honest about genuine tensions. Some of what follows are disagreements between authors. Some are limitations within individual frameworks that other entries expose. All of them are worth sitting with rather than resolving too quickly — because in several cases, the tension is more useful than either position alone.</w:t>
      </w:r>
    </w:p>
    <w:p>
      <w:pPr>
        <w:spacing w:after="0" w:before="120"/>
      </w:pPr>
    </w:p>
    <w:p>
      <w:pPr>
        <w:spacing w:after="80" w:before="200"/>
      </w:pPr>
      <w:r>
        <w:rPr>
          <w:rFonts w:ascii="Arial" w:cs="Arial" w:eastAsia="Arial" w:hAnsi="Arial"/>
          <w:b/>
          <w:bCs/>
          <w:color w:val="3A5068"/>
          <w:sz w:val="24"/>
          <w:szCs w:val="24"/>
        </w:rPr>
        <w:t xml:space="preserve">Tension 1 · Discovery vs. Construction</w:t>
      </w:r>
    </w:p>
    <w:p>
      <w:pPr>
        <w:spacing w:after="80" w:before="80"/>
      </w:pPr>
      <w:r>
        <w:rPr>
          <w:rFonts w:ascii="Arial" w:cs="Arial" w:eastAsia="Arial" w:hAnsi="Arial"/>
          <w:b/>
          <w:bCs/>
          <w:color w:val="1B2A4A"/>
          <w:sz w:val="22"/>
          <w:szCs w:val="22"/>
        </w:rPr>
        <w:t xml:space="preserve">Frankl: </w:t>
      </w:r>
      <w:r>
        <w:rPr>
          <w:rFonts w:ascii="Arial" w:cs="Arial" w:eastAsia="Arial" w:hAnsi="Arial"/>
          <w:color w:val="2C2C2C"/>
          <w:sz w:val="22"/>
          <w:szCs w:val="22"/>
        </w:rPr>
        <w:t xml:space="preserve">Meaning and identity cannot be directly pursued. They emerge as by-products of honest engagement with what the situation demands. The leader who tries to construct a purpose statement before doing the existential work of sitting honestly with the question will produce language, not meaning.</w:t>
      </w:r>
    </w:p>
    <w:p>
      <w:pPr>
        <w:spacing w:after="0" w:before="60"/>
      </w:pPr>
    </w:p>
    <w:p>
      <w:pPr>
        <w:spacing w:after="80" w:before="80"/>
      </w:pPr>
      <w:r>
        <w:rPr>
          <w:rFonts w:ascii="Arial" w:cs="Arial" w:eastAsia="Arial" w:hAnsi="Arial"/>
          <w:b/>
          <w:bCs/>
          <w:color w:val="1B2A4A"/>
          <w:sz w:val="22"/>
          <w:szCs w:val="22"/>
        </w:rPr>
        <w:t xml:space="preserve">Sinek / Covey: </w:t>
      </w:r>
      <w:r>
        <w:rPr>
          <w:rFonts w:ascii="Arial" w:cs="Arial" w:eastAsia="Arial" w:hAnsi="Arial"/>
          <w:color w:val="2C2C2C"/>
          <w:sz w:val="22"/>
          <w:szCs w:val="22"/>
        </w:rPr>
        <w:t xml:space="preserve">Purpose can and should be articulated, designed around, and communicated. The Golden Circle is a constructive framework. The personal mission statement is an authored document. Both imply that the transition reader can — and should — actively build a purposeful identity rather than waiting for one to emerge.</w:t>
      </w:r>
    </w:p>
    <w:p>
      <w:pPr>
        <w:spacing w:after="0" w:before="60"/>
      </w:pPr>
    </w:p>
    <w:p>
      <w:pPr>
        <w:spacing w:after="80" w:before="80"/>
      </w:pPr>
      <w:r>
        <w:rPr>
          <w:rFonts w:ascii="Arial" w:cs="Arial" w:eastAsia="Arial" w:hAnsi="Arial"/>
          <w:i w:val="false"/>
          <w:iCs w:val="false"/>
          <w:color w:val="2C2C2C"/>
          <w:sz w:val="22"/>
          <w:szCs w:val="22"/>
        </w:rPr>
        <w:t xml:space="preserve">The tension is real and it is not resolvable by simply saying both are right. Frankl's framework is a warning against the specific failure mode that Sinek and Covey's frameworks are prone to: the manufacturing of purpose statements that are organizationally compelling and existentially empty. Sinek and Covey's frameworks are a corrective to the paralysis that Frankl's framework can produce if misread as an instruction to wait rather than to engage honestly. The most useful reading is sequential: Frankl's honest reckoning first, then Sinek and Covey's construction on top of it. But the sequence matters — leaders who begin with Covey's mission statement before doing Frankl's work are, in Frankl's terms, filling the vacuum rather than investigating it.</w:t>
      </w:r>
    </w:p>
    <w:p>
      <w:pPr>
        <w:spacing w:after="0" w:before="140"/>
      </w:pPr>
    </w:p>
    <w:p>
      <w:pPr>
        <w:spacing w:after="80" w:before="200"/>
      </w:pPr>
      <w:r>
        <w:rPr>
          <w:rFonts w:ascii="Arial" w:cs="Arial" w:eastAsia="Arial" w:hAnsi="Arial"/>
          <w:b/>
          <w:bCs/>
          <w:color w:val="3A5068"/>
          <w:sz w:val="24"/>
          <w:szCs w:val="24"/>
        </w:rPr>
        <w:t xml:space="preserve">Tension 2 · Interior Work vs. Relational Work</w:t>
      </w:r>
    </w:p>
    <w:p>
      <w:pPr>
        <w:spacing w:after="80" w:before="80"/>
      </w:pPr>
      <w:r>
        <w:rPr>
          <w:rFonts w:ascii="Arial" w:cs="Arial" w:eastAsia="Arial" w:hAnsi="Arial"/>
          <w:b/>
          <w:bCs/>
          <w:color w:val="1B2A4A"/>
          <w:sz w:val="22"/>
          <w:szCs w:val="22"/>
        </w:rPr>
        <w:t xml:space="preserve">The Stoic-Existential tradition (Frankl, Aurelius, Holiday): </w:t>
      </w:r>
      <w:r>
        <w:rPr>
          <w:rFonts w:ascii="Arial" w:cs="Arial" w:eastAsia="Arial" w:hAnsi="Arial"/>
          <w:color w:val="2C2C2C"/>
          <w:sz w:val="22"/>
          <w:szCs w:val="22"/>
        </w:rPr>
        <w:t xml:space="preserve">Identity is primarily an interior project. The work of examining values, choosing orientation to circumstance, and refusing ego's distortions is individual. It precedes and enables relational effectiveness.</w:t>
      </w:r>
    </w:p>
    <w:p>
      <w:pPr>
        <w:spacing w:after="0" w:before="60"/>
      </w:pPr>
    </w:p>
    <w:p>
      <w:pPr>
        <w:spacing w:after="80" w:before="80"/>
      </w:pPr>
      <w:r>
        <w:rPr>
          <w:rFonts w:ascii="Arial" w:cs="Arial" w:eastAsia="Arial" w:hAnsi="Arial"/>
          <w:b/>
          <w:bCs/>
          <w:color w:val="1B2A4A"/>
          <w:sz w:val="22"/>
          <w:szCs w:val="22"/>
        </w:rPr>
        <w:t xml:space="preserve">The Relational tradition (Arbinger, Greenleaf, Lencioni): </w:t>
      </w:r>
      <w:r>
        <w:rPr>
          <w:rFonts w:ascii="Arial" w:cs="Arial" w:eastAsia="Arial" w:hAnsi="Arial"/>
          <w:color w:val="2C2C2C"/>
          <w:sz w:val="22"/>
          <w:szCs w:val="22"/>
        </w:rPr>
        <w:t xml:space="preserve">Identity is partly constituted by how the leader sees and treats others. Self-deception about relational impact is as identity-distorting as ego. And the leader who does only interior work without attending to how they are showing up in relationships has not finished the work.</w:t>
      </w:r>
    </w:p>
    <w:p>
      <w:pPr>
        <w:spacing w:after="0" w:before="60"/>
      </w:pPr>
    </w:p>
    <w:p>
      <w:pPr>
        <w:spacing w:after="80" w:before="80"/>
      </w:pPr>
      <w:r>
        <w:rPr>
          <w:rFonts w:ascii="Arial" w:cs="Arial" w:eastAsia="Arial" w:hAnsi="Arial"/>
          <w:i w:val="false"/>
          <w:iCs w:val="false"/>
          <w:color w:val="2C2C2C"/>
          <w:sz w:val="22"/>
          <w:szCs w:val="22"/>
        </w:rPr>
        <w:t xml:space="preserve">The Arbinger Institute makes the most uncomfortable version of this challenge: the intelligent leader is better at constructing coherent self-justifying narratives than less intelligent leaders, which means that the interior work the Stoic tradition prescribes can be co-opted by the very ego it is trying to address. Holiday's diagnostic work and Arbinger's relational diagnostic are, in this sense, not parallel frameworks — they are checks on each other. A leader who reads only Holiday risks self-absorbed introspection. A leader who reads only Arbinger risks using it to examine everyone else. Reading both requires the reader to hold both simultaneously, which is more uncomfortable and more honest than either alone.</w:t>
      </w:r>
    </w:p>
    <w:p>
      <w:pPr>
        <w:spacing w:after="0" w:before="140"/>
      </w:pPr>
    </w:p>
    <w:p>
      <w:pPr>
        <w:spacing w:after="80" w:before="200"/>
      </w:pPr>
      <w:r>
        <w:rPr>
          <w:rFonts w:ascii="Arial" w:cs="Arial" w:eastAsia="Arial" w:hAnsi="Arial"/>
          <w:b/>
          <w:bCs/>
          <w:color w:val="3A5068"/>
          <w:sz w:val="24"/>
          <w:szCs w:val="24"/>
        </w:rPr>
        <w:t xml:space="preserve">Tension 3 · Release vs. Build</w:t>
      </w:r>
    </w:p>
    <w:p>
      <w:pPr>
        <w:spacing w:after="80" w:before="80"/>
      </w:pPr>
      <w:r>
        <w:rPr>
          <w:rFonts w:ascii="Arial" w:cs="Arial" w:eastAsia="Arial" w:hAnsi="Arial"/>
          <w:b/>
          <w:bCs/>
          <w:color w:val="1B2A4A"/>
          <w:sz w:val="22"/>
          <w:szCs w:val="22"/>
        </w:rPr>
        <w:t xml:space="preserve">Holiday: </w:t>
      </w:r>
      <w:r>
        <w:rPr>
          <w:rFonts w:ascii="Arial" w:cs="Arial" w:eastAsia="Arial" w:hAnsi="Arial"/>
          <w:color w:val="2C2C2C"/>
          <w:sz w:val="22"/>
          <w:szCs w:val="22"/>
        </w:rPr>
        <w:t xml:space="preserve">The primary work of identity in transition is diagnostic and release — recognizing what was borrowed from the institution and ceasing to depend on it. The ego that accumulated over a career of genuine service is not evidence of failure, but it must be seen clearly before anything more durable can be built.</w:t>
      </w:r>
    </w:p>
    <w:p>
      <w:pPr>
        <w:spacing w:after="0" w:before="60"/>
      </w:pPr>
    </w:p>
    <w:p>
      <w:pPr>
        <w:spacing w:after="80" w:before="80"/>
      </w:pPr>
      <w:r>
        <w:rPr>
          <w:rFonts w:ascii="Arial" w:cs="Arial" w:eastAsia="Arial" w:hAnsi="Arial"/>
          <w:b/>
          <w:bCs/>
          <w:color w:val="1B2A4A"/>
          <w:sz w:val="22"/>
          <w:szCs w:val="22"/>
        </w:rPr>
        <w:t xml:space="preserve">Covey / Sinek / Greenleaf: </w:t>
      </w:r>
      <w:r>
        <w:rPr>
          <w:rFonts w:ascii="Arial" w:cs="Arial" w:eastAsia="Arial" w:hAnsi="Arial"/>
          <w:color w:val="2C2C2C"/>
          <w:sz w:val="22"/>
          <w:szCs w:val="22"/>
        </w:rPr>
        <w:t xml:space="preserve">The primary work is constructive — building the character ethic, authoring the personal mission, discovering the WHY, articulating the just cause. These frameworks spend relatively little time on the releasing work and considerable time on the building work.</w:t>
      </w:r>
    </w:p>
    <w:p>
      <w:pPr>
        <w:spacing w:after="0" w:before="60"/>
      </w:pPr>
    </w:p>
    <w:p>
      <w:pPr>
        <w:spacing w:after="80" w:before="80"/>
      </w:pPr>
      <w:r>
        <w:rPr>
          <w:rFonts w:ascii="Arial" w:cs="Arial" w:eastAsia="Arial" w:hAnsi="Arial"/>
          <w:i w:val="false"/>
          <w:iCs w:val="false"/>
          <w:color w:val="2C2C2C"/>
          <w:sz w:val="22"/>
          <w:szCs w:val="22"/>
        </w:rPr>
        <w:t xml:space="preserve">Leaders who begin with construction before adequate release build on unstable ground — the new mission statement sits on top of the unreleased ego and will eventually reflect its priorities rather than the genuine values underneath. Leaders who spend too long in the diagnostic and releasing mode without moving toward construction may find the transition period extending indefinitely. The library does not resolve this tension — it presents both sides and trusts the reader to judge where they are in the sequence. What it does establish, through Holiday and Arbinger together, is that the releasing work is consistently underestimated rather than overestimated.</w:t>
      </w:r>
    </w:p>
    <w:p>
      <w:pPr>
        <w:spacing w:after="0" w:before="140"/>
      </w:pPr>
    </w:p>
    <w:p>
      <w:pPr>
        <w:spacing w:after="80" w:before="200"/>
      </w:pPr>
      <w:r>
        <w:rPr>
          <w:rFonts w:ascii="Arial" w:cs="Arial" w:eastAsia="Arial" w:hAnsi="Arial"/>
          <w:b/>
          <w:bCs/>
          <w:color w:val="3A5068"/>
          <w:sz w:val="24"/>
          <w:szCs w:val="24"/>
        </w:rPr>
        <w:t xml:space="preserve">Tension 4 · The Limits of the Stoic Framework</w:t>
      </w:r>
    </w:p>
    <w:p>
      <w:pPr>
        <w:spacing w:after="80" w:before="80"/>
      </w:pPr>
      <w:r>
        <w:rPr>
          <w:rFonts w:ascii="Arial" w:cs="Arial" w:eastAsia="Arial" w:hAnsi="Arial"/>
          <w:i w:val="false"/>
          <w:iCs w:val="false"/>
          <w:color w:val="2C2C2C"/>
          <w:sz w:val="22"/>
          <w:szCs w:val="22"/>
        </w:rPr>
        <w:t xml:space="preserve">The Stoic cluster — Aurelius, Holiday, and the Frankl entries that extend into Stoic territory — is the library's most coherent intellectual group. It is also the group whose limitations are most worth naming explicitly, because they are limitations that the transition reader is most likely to encounter under genuine difficulty.</w:t>
      </w:r>
    </w:p>
    <w:p>
      <w:pPr>
        <w:spacing w:after="0" w:before="60"/>
      </w:pPr>
    </w:p>
    <w:p>
      <w:pPr>
        <w:spacing w:after="80" w:before="80"/>
      </w:pPr>
      <w:r>
        <w:rPr>
          <w:rFonts w:ascii="Arial" w:cs="Arial" w:eastAsia="Arial" w:hAnsi="Arial"/>
          <w:i w:val="false"/>
          <w:iCs w:val="false"/>
          <w:color w:val="2C2C2C"/>
          <w:sz w:val="22"/>
          <w:szCs w:val="22"/>
        </w:rPr>
        <w:t xml:space="preserve">Holiday acknowledges, in passing, that the obstacle is not always the way — that some adversity produces damage regardless of orientation, that some circumstances do not yield to perception, action, and will. The Stoic tradition, at its most demanding, can shade into an injunction that feels like victim-blaming when applied to genuine loss: the suggestion that suffering is the material of growth implies, in its worst reading, that the leader who is genuinely damaged by transition has failed to apply the framework correctly. That is not what Frankl argues, and it is not what Aurelius intends. But it is what the framework produces when it is applied without the intellectual honesty that both authors bring to it. The reader who is struggling rather than merely challenged needs to hear, alongside the Stoic disciplines, the honest acknowledgment that some things that are lost at transition are genuinely gone — and that acknowledging that loss is not a failure of will. It is the beginning of honest engagement with what actually happened.</w:t>
      </w:r>
    </w:p>
    <w:p>
      <w:pPr>
        <w:spacing w:after="0" w:before="200"/>
      </w:pPr>
    </w:p>
    <w:p>
      <w:pPr>
        <w:spacing w:after="120" w:before="320"/>
      </w:pPr>
      <w:r>
        <w:rPr>
          <w:rFonts w:ascii="Arial" w:cs="Arial" w:eastAsia="Arial" w:hAnsi="Arial"/>
          <w:b/>
          <w:bCs/>
          <w:caps/>
          <w:color w:val="1B2A4A"/>
          <w:sz w:val="28"/>
          <w:szCs w:val="28"/>
        </w:rPr>
        <w:t xml:space="preserve">IV. What the Library Notices But Does Not Fully Say</w:t>
      </w:r>
    </w:p>
    <w:p>
      <w:pPr>
        <w:pBdr>
          <w:bottom w:val="single" w:color="1B2A4A" w:sz="6" w:space="1"/>
        </w:pBdr>
        <w:spacing w:after="80" w:before="80"/>
      </w:pPr>
    </w:p>
    <w:p>
      <w:pPr>
        <w:spacing w:after="0" w:before="80"/>
      </w:pPr>
    </w:p>
    <w:p>
      <w:pPr>
        <w:spacing w:after="80" w:before="80"/>
      </w:pPr>
      <w:r>
        <w:rPr>
          <w:rFonts w:ascii="Arial" w:cs="Arial" w:eastAsia="Arial" w:hAnsi="Arial"/>
          <w:i w:val="false"/>
          <w:iCs w:val="false"/>
          <w:color w:val="2C2C2C"/>
          <w:sz w:val="22"/>
          <w:szCs w:val="22"/>
        </w:rPr>
        <w:t xml:space="preserve">A synthesis honest enough to be useful has to name not only what the library establishes but where it falls short. Three gaps are worth naming specifically.</w:t>
      </w:r>
    </w:p>
    <w:p>
      <w:pPr>
        <w:spacing w:after="0" w:before="120"/>
      </w:pPr>
    </w:p>
    <w:p>
      <w:pPr>
        <w:spacing w:after="80" w:before="200"/>
      </w:pPr>
      <w:r>
        <w:rPr>
          <w:rFonts w:ascii="Arial" w:cs="Arial" w:eastAsia="Arial" w:hAnsi="Arial"/>
          <w:b/>
          <w:bCs/>
          <w:color w:val="3A5068"/>
          <w:sz w:val="24"/>
          <w:szCs w:val="24"/>
        </w:rPr>
        <w:t xml:space="preserve">The Grief Gap</w:t>
      </w:r>
    </w:p>
    <w:p>
      <w:pPr>
        <w:spacing w:after="80" w:before="80"/>
      </w:pPr>
      <w:r>
        <w:rPr>
          <w:rFonts w:ascii="Arial" w:cs="Arial" w:eastAsia="Arial" w:hAnsi="Arial"/>
          <w:i w:val="false"/>
          <w:iCs w:val="false"/>
          <w:color w:val="2C2C2C"/>
          <w:sz w:val="22"/>
          <w:szCs w:val="22"/>
        </w:rPr>
        <w:t xml:space="preserve">The library addresses identity loss and its reconstruction with considerable sophistication. What it addresses less directly is the simpler emotional reality that comes before the reconstruction work is possible: grief. Military transition involves loss that is genuine and significant — the loss of a tribe, a mission, a daily structure, a set of relationships that were formed under conditions that cannot be replicated. The Stoic tradition is, at its best, an invitation to engage that loss with honesty and will rather than to perform resilience before the grief is real. But none of the fifteen entries has a chapter on mourning. Sinek is the closest — his biological account of the belonging loss names what is being grieved with unusual precision. Frankl's entry acknowledges the distinction between grief that signals the importance of what was lost and the existential vacuum that requires reconstruction. But the library has not yet given grief its own address. That is an identified gap, and it matters for the reader who arrives at this material in the middle of genuine mourning rather than after it.</w:t>
      </w:r>
    </w:p>
    <w:p>
      <w:pPr>
        <w:spacing w:after="0" w:before="120"/>
      </w:pPr>
    </w:p>
    <w:p>
      <w:pPr>
        <w:spacing w:after="80" w:before="200"/>
      </w:pPr>
      <w:r>
        <w:rPr>
          <w:rFonts w:ascii="Arial" w:cs="Arial" w:eastAsia="Arial" w:hAnsi="Arial"/>
          <w:b/>
          <w:bCs/>
          <w:color w:val="3A5068"/>
          <w:sz w:val="24"/>
          <w:szCs w:val="24"/>
        </w:rPr>
        <w:t xml:space="preserve">The Economic Reality Gap</w:t>
      </w:r>
    </w:p>
    <w:p>
      <w:pPr>
        <w:spacing w:after="80" w:before="80"/>
      </w:pPr>
      <w:r>
        <w:rPr>
          <w:rFonts w:ascii="Arial" w:cs="Arial" w:eastAsia="Arial" w:hAnsi="Arial"/>
          <w:i w:val="false"/>
          <w:iCs w:val="false"/>
          <w:color w:val="2C2C2C"/>
          <w:sz w:val="22"/>
          <w:szCs w:val="22"/>
        </w:rPr>
        <w:t xml:space="preserve">The library's identity framework is philosophically rich and practically honest in most dimensions. In one dimension it is less honest than it should be: the economic reality of transition. Essentialism prescribes the disciplined pursuit of less, but does not adequately address the transition reader who cannot yet afford the essential. Greenleaf's servant-leader framework is most naturally expressed in organizations that reward service — and does not fully address the leader who, for the first several years of the next chapter, must work in organizations that exploit it. Frankl's framework for meaning survives deprivation by his own testimony — but the entry does not address the specific relationship between financial security and the capacity to engage the meaning questions with the full honesty they deserve. These are not fatal limitations. They are places where the library's philosophical ambition is ahead of its economic realism.</w:t>
      </w:r>
    </w:p>
    <w:p>
      <w:pPr>
        <w:spacing w:after="0" w:before="120"/>
      </w:pPr>
    </w:p>
    <w:p>
      <w:pPr>
        <w:spacing w:after="80" w:before="200"/>
      </w:pPr>
      <w:r>
        <w:rPr>
          <w:rFonts w:ascii="Arial" w:cs="Arial" w:eastAsia="Arial" w:hAnsi="Arial"/>
          <w:b/>
          <w:bCs/>
          <w:color w:val="3A5068"/>
          <w:sz w:val="24"/>
          <w:szCs w:val="24"/>
        </w:rPr>
        <w:t xml:space="preserve">The Reconstruction Timeline Gap</w:t>
      </w:r>
    </w:p>
    <w:p>
      <w:pPr>
        <w:spacing w:after="80" w:before="80"/>
      </w:pPr>
      <w:r>
        <w:rPr>
          <w:rFonts w:ascii="Arial" w:cs="Arial" w:eastAsia="Arial" w:hAnsi="Arial"/>
          <w:i w:val="false"/>
          <w:iCs w:val="false"/>
          <w:color w:val="2C2C2C"/>
          <w:sz w:val="22"/>
          <w:szCs w:val="22"/>
        </w:rPr>
        <w:t xml:space="preserve">The library does not tell the reader how long the identity work takes. This is partly honest — the honest answer is that it varies enormously, and giving a timeline would be false precision. But it also leaves the transition reader without adequate preparation for the reality that the work described across these fifteen books is the work of years, not months. The First 90 Days provides the most operationally specific timeline in the collection, and its ninety-day frame is valuable for what it addresses. But the identity questions that Frankl, Aurelius, Holiday, and Covey raise are not ninety-day questions. They are questions the reader will return to for as long as they continue to grow as a leader. The library's framing of the work as transition work — implying a period with a defined end — may understate what is actually a permanent practice.</w:t>
      </w:r>
    </w:p>
    <w:p>
      <w:pPr>
        <w:spacing w:after="0" w:before="200"/>
      </w:pPr>
    </w:p>
    <w:p>
      <w:pPr>
        <w:spacing w:after="120" w:before="320"/>
      </w:pPr>
      <w:r>
        <w:rPr>
          <w:rFonts w:ascii="Arial" w:cs="Arial" w:eastAsia="Arial" w:hAnsi="Arial"/>
          <w:b/>
          <w:bCs/>
          <w:caps/>
          <w:color w:val="1B2A4A"/>
          <w:sz w:val="28"/>
          <w:szCs w:val="28"/>
        </w:rPr>
        <w:t xml:space="preserve">V. Practical Implications for the Transition Reader</w:t>
      </w:r>
    </w:p>
    <w:p>
      <w:pPr>
        <w:pBdr>
          <w:bottom w:val="single" w:color="1B2A4A" w:sz="6" w:space="1"/>
        </w:pBdr>
        <w:spacing w:after="80" w:before="80"/>
      </w:pPr>
    </w:p>
    <w:p>
      <w:pPr>
        <w:spacing w:after="0" w:before="60"/>
      </w:pPr>
    </w:p>
    <w:p>
      <w:pPr>
        <w:spacing w:after="80" w:before="80"/>
      </w:pPr>
      <w:r>
        <w:rPr>
          <w:rFonts w:ascii="Arial" w:cs="Arial" w:eastAsia="Arial" w:hAnsi="Arial"/>
          <w:i/>
          <w:iCs/>
          <w:color w:val="2C2C2C"/>
          <w:sz w:val="22"/>
          <w:szCs w:val="22"/>
        </w:rPr>
        <w:t xml:space="preserve">What the accumulated evidence across fifteen books, synthesized honestly, suggests the transition reader should actually do.</w:t>
      </w:r>
    </w:p>
    <w:p>
      <w:pPr>
        <w:spacing w:after="0" w:before="120"/>
      </w:pPr>
    </w:p>
    <w:p>
      <w:pPr>
        <w:spacing w:after="80" w:before="200"/>
      </w:pPr>
      <w:r>
        <w:rPr>
          <w:rFonts w:ascii="Arial" w:cs="Arial" w:eastAsia="Arial" w:hAnsi="Arial"/>
          <w:b/>
          <w:bCs/>
          <w:color w:val="3A5068"/>
          <w:sz w:val="24"/>
          <w:szCs w:val="24"/>
        </w:rPr>
        <w:t xml:space="preserve">On the Sequence</w:t>
      </w:r>
    </w:p>
    <w:p>
      <w:pPr>
        <w:spacing w:after="80" w:before="80"/>
      </w:pPr>
      <w:r>
        <w:rPr>
          <w:rFonts w:ascii="Arial" w:cs="Arial" w:eastAsia="Arial" w:hAnsi="Arial"/>
          <w:i w:val="false"/>
          <w:iCs w:val="false"/>
          <w:color w:val="2C2C2C"/>
          <w:sz w:val="22"/>
          <w:szCs w:val="22"/>
        </w:rPr>
        <w:t xml:space="preserve">The books in this collection are more useful in the right sequence than in any order. The sequence the library's evidence suggests: begin with the diagnostic work (Frankl, Aurelius, Holiday, Arbinger) before moving to the constructive work (Covey, Sinek, Greenleaf). The diagnostic work establishes what the identity was made of — what was genuinely built and what was borrowed from the institution. The constructive work builds from what the diagnostic work reveals. Reversing the sequence produces polished language built on unexamined foundations.</w:t>
      </w:r>
    </w:p>
    <w:p>
      <w:pPr>
        <w:spacing w:after="0" w:before="80"/>
      </w:pPr>
    </w:p>
    <w:p>
      <w:pPr>
        <w:spacing w:after="80" w:before="200"/>
      </w:pPr>
      <w:r>
        <w:rPr>
          <w:rFonts w:ascii="Arial" w:cs="Arial" w:eastAsia="Arial" w:hAnsi="Arial"/>
          <w:b/>
          <w:bCs/>
          <w:color w:val="3A5068"/>
          <w:sz w:val="24"/>
          <w:szCs w:val="24"/>
        </w:rPr>
        <w:t xml:space="preserve">On the Belonging Loss</w:t>
      </w:r>
    </w:p>
    <w:p>
      <w:pPr>
        <w:spacing w:after="80" w:before="80"/>
      </w:pPr>
      <w:r>
        <w:rPr>
          <w:rFonts w:ascii="Arial" w:cs="Arial" w:eastAsia="Arial" w:hAnsi="Arial"/>
          <w:i w:val="false"/>
          <w:iCs w:val="false"/>
          <w:color w:val="2C2C2C"/>
          <w:sz w:val="22"/>
          <w:szCs w:val="22"/>
        </w:rPr>
        <w:t xml:space="preserve">Name it before trying to replace it. Sinek's framework makes the loss legible in terms that are biological rather than sentimental — which means the reader can acknowledge it without embarrassment. The belonging of military service was genuinely among the most complete human community experiences available in modern institutional life. It is not replaceable by a better job offer or a more supportive civilian organization. It can be rebuilt — Sinek, Lencioni, and Greenleaf together describe what the rebuilding requires — but the rebuilding cannot begin before the acknowledgment is honest.</w:t>
      </w:r>
    </w:p>
    <w:p>
      <w:pPr>
        <w:spacing w:after="0" w:before="80"/>
      </w:pPr>
    </w:p>
    <w:p>
      <w:pPr>
        <w:spacing w:after="80" w:before="200"/>
      </w:pPr>
      <w:r>
        <w:rPr>
          <w:rFonts w:ascii="Arial" w:cs="Arial" w:eastAsia="Arial" w:hAnsi="Arial"/>
          <w:b/>
          <w:bCs/>
          <w:color w:val="3A5068"/>
          <w:sz w:val="24"/>
          <w:szCs w:val="24"/>
        </w:rPr>
        <w:t xml:space="preserve">On the Character Work</w:t>
      </w:r>
    </w:p>
    <w:p>
      <w:pPr>
        <w:spacing w:after="80" w:before="80"/>
      </w:pPr>
      <w:r>
        <w:rPr>
          <w:rFonts w:ascii="Arial" w:cs="Arial" w:eastAsia="Arial" w:hAnsi="Arial"/>
          <w:i w:val="false"/>
          <w:iCs w:val="false"/>
          <w:color w:val="2C2C2C"/>
          <w:sz w:val="22"/>
          <w:szCs w:val="22"/>
        </w:rPr>
        <w:t xml:space="preserve">The character you built across a military career is more portable than transition culture usually acknowledges — and more vulnerable to specific failure modes than most military leaders recognize. Collins' Level 5 Leadership is civilian-credible evidence that the character profile military development produces is precisely what the most sustained organizational excellence is built on. Willink and Babin's accountability philosophy translates the same orientation into operational military vocabulary. Both together give the transition reader the vocabulary to explain what they bring without depending on military credentials that civilian employers cannot evaluate. Use them.</w:t>
      </w:r>
    </w:p>
    <w:p>
      <w:pPr>
        <w:spacing w:after="0" w:before="80"/>
      </w:pPr>
    </w:p>
    <w:p>
      <w:pPr>
        <w:spacing w:after="80" w:before="200"/>
      </w:pPr>
      <w:r>
        <w:rPr>
          <w:rFonts w:ascii="Arial" w:cs="Arial" w:eastAsia="Arial" w:hAnsi="Arial"/>
          <w:b/>
          <w:bCs/>
          <w:color w:val="3A5068"/>
          <w:sz w:val="24"/>
          <w:szCs w:val="24"/>
        </w:rPr>
        <w:t xml:space="preserve">On the WHY Question</w:t>
      </w:r>
    </w:p>
    <w:p>
      <w:pPr>
        <w:spacing w:after="80" w:before="80"/>
      </w:pPr>
      <w:r>
        <w:rPr>
          <w:rFonts w:ascii="Arial" w:cs="Arial" w:eastAsia="Arial" w:hAnsi="Arial"/>
          <w:i w:val="false"/>
          <w:iCs w:val="false"/>
          <w:color w:val="2C2C2C"/>
          <w:sz w:val="22"/>
          <w:szCs w:val="22"/>
        </w:rPr>
        <w:t xml:space="preserve">Sinek asks the right question. Frankl is the prerequisite for answering it honestly. Most leaders who apply the Golden Circle in the early transition period produce a WHY statement that reflects the institutional purpose they just left — reworded, but not yet personally owned. The WHY that is genuinely portable is the one that explains not why the institution was worth serving but why the leader, personally, chose to serve the way they did at the moments they were most proud of. Finding that answer requires the honest reckoning that Frankl describes as sitting with the question rather than filling it. The discomfort of that sitting is not a problem to be solved. It is the work.</w:t>
      </w:r>
    </w:p>
    <w:p>
      <w:pPr>
        <w:spacing w:after="0" w:before="80"/>
      </w:pPr>
    </w:p>
    <w:p>
      <w:pPr>
        <w:spacing w:after="80" w:before="200"/>
      </w:pPr>
      <w:r>
        <w:rPr>
          <w:rFonts w:ascii="Arial" w:cs="Arial" w:eastAsia="Arial" w:hAnsi="Arial"/>
          <w:b/>
          <w:bCs/>
          <w:color w:val="3A5068"/>
          <w:sz w:val="24"/>
          <w:szCs w:val="24"/>
        </w:rPr>
        <w:t xml:space="preserve">On the Infinite Game</w:t>
      </w:r>
    </w:p>
    <w:p>
      <w:pPr>
        <w:spacing w:after="80" w:before="80"/>
      </w:pPr>
      <w:r>
        <w:rPr>
          <w:rFonts w:ascii="Arial" w:cs="Arial" w:eastAsia="Arial" w:hAnsi="Arial"/>
          <w:i w:val="false"/>
          <w:iCs w:val="false"/>
          <w:color w:val="2C2C2C"/>
          <w:sz w:val="22"/>
          <w:szCs w:val="22"/>
        </w:rPr>
        <w:t xml:space="preserve">Sinek's most important contribution to the identity question is not in Start With Why or Leaders Eat Last. It is in The Infinite Game. The reorientation it describes — from finite metrics to an infinite cause worth advancing — is the frame that makes a post-service life feel as genuinely significant as service itself. The military career was, whatever its finite measurements, an episode in an infinite game. The republic it defended is still being played for. The leaders it developed are still in the field. The question the infinite game framework raises for the transition reader is not what comes next professionally. It is what infinite game the leader is now choosing to advance — not as a replacement for service, but as its continuation in a different context.</w:t>
      </w:r>
    </w:p>
    <w:p>
      <w:pPr>
        <w:spacing w:after="0" w:before="200"/>
      </w:pPr>
    </w:p>
    <w:p>
      <w:pPr>
        <w:spacing w:after="120" w:before="320"/>
      </w:pPr>
      <w:r>
        <w:rPr>
          <w:rFonts w:ascii="Arial" w:cs="Arial" w:eastAsia="Arial" w:hAnsi="Arial"/>
          <w:b/>
          <w:bCs/>
          <w:caps/>
          <w:color w:val="1B2A4A"/>
          <w:sz w:val="28"/>
          <w:szCs w:val="28"/>
        </w:rPr>
        <w:t xml:space="preserve">Reading Map · Identity Beyond Rank</w:t>
      </w:r>
    </w:p>
    <w:p>
      <w:pPr>
        <w:pBdr>
          <w:bottom w:val="single" w:color="A5843A" w:sz="6" w:space="1"/>
        </w:pBdr>
        <w:spacing w:after="80" w:before="80"/>
      </w:pPr>
    </w:p>
    <w:p>
      <w:pPr>
        <w:spacing w:after="0" w:before="60"/>
      </w:pPr>
    </w:p>
    <w:p>
      <w:pPr>
        <w:spacing w:after="80" w:before="80"/>
      </w:pPr>
      <w:r>
        <w:rPr>
          <w:rFonts w:ascii="Arial" w:cs="Arial" w:eastAsia="Arial" w:hAnsi="Arial"/>
          <w:i/>
          <w:iCs/>
          <w:color w:val="2C2C2C"/>
          <w:sz w:val="22"/>
          <w:szCs w:val="22"/>
        </w:rPr>
        <w:t xml:space="preserve">The following sequence is the library's recommended reading path for the identity question specifically — organized by the diagnostic-to-constructive sequence the evidence supports.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nil"/>
              <w:left w:val="nil"/>
              <w:bottom w:val="nil"/>
              <w:right w:val="nil"/>
            </w:tcBorders>
            <w:shd w:fill="1B2A4A" w:val="clear"/>
            <w:tcMar>
              <w:top w:type="dxa" w:w="80"/>
              <w:left w:type="dxa" w:w="120"/>
              <w:bottom w:type="dxa" w:w="80"/>
              <w:right w:type="dxa" w:w="80"/>
            </w:tcMar>
          </w:tcPr>
          <w:p>
            <w:r>
              <w:rPr>
                <w:rFonts w:ascii="Arial" w:cs="Arial" w:eastAsia="Arial" w:hAnsi="Arial"/>
                <w:b/>
                <w:bCs/>
                <w:caps/>
                <w:color w:val="FFFFFF"/>
                <w:sz w:val="18"/>
                <w:szCs w:val="18"/>
              </w:rPr>
              <w:t xml:space="preserve">PHASE</w:t>
            </w:r>
          </w:p>
        </w:tc>
        <w:tc>
          <w:tcPr>
            <w:tcW w:type="dxa" w:w="2800"/>
            <w:tcBorders>
              <w:top w:val="nil"/>
              <w:left w:val="nil"/>
              <w:bottom w:val="nil"/>
              <w:right w:val="nil"/>
            </w:tcBorders>
            <w:shd w:fill="1B2A4A" w:val="clear"/>
            <w:tcMar>
              <w:top w:type="dxa" w:w="80"/>
              <w:left w:type="dxa" w:w="120"/>
              <w:bottom w:type="dxa" w:w="80"/>
              <w:right w:type="dxa" w:w="80"/>
            </w:tcMar>
          </w:tcPr>
          <w:p>
            <w:r>
              <w:rPr>
                <w:rFonts w:ascii="Arial" w:cs="Arial" w:eastAsia="Arial" w:hAnsi="Arial"/>
                <w:b/>
                <w:bCs/>
                <w:caps/>
                <w:color w:val="FFFFFF"/>
                <w:sz w:val="18"/>
                <w:szCs w:val="18"/>
              </w:rPr>
              <w:t xml:space="preserve">BOOK</w:t>
            </w:r>
          </w:p>
        </w:tc>
        <w:tc>
          <w:tcPr>
            <w:tcW w:type="dxa" w:w="5160"/>
            <w:tcBorders>
              <w:top w:val="nil"/>
              <w:left w:val="nil"/>
              <w:bottom w:val="nil"/>
              <w:right w:val="nil"/>
            </w:tcBorders>
            <w:shd w:fill="1B2A4A" w:val="clear"/>
            <w:tcMar>
              <w:top w:type="dxa" w:w="80"/>
              <w:left w:type="dxa" w:w="120"/>
              <w:bottom w:type="dxa" w:w="80"/>
              <w:right w:type="dxa" w:w="80"/>
            </w:tcMar>
          </w:tcPr>
          <w:p>
            <w:r>
              <w:rPr>
                <w:rFonts w:ascii="Arial" w:cs="Arial" w:eastAsia="Arial" w:hAnsi="Arial"/>
                <w:b/>
                <w:bCs/>
                <w:caps/>
                <w:color w:val="FFFFFF"/>
                <w:sz w:val="18"/>
                <w:szCs w:val="18"/>
              </w:rPr>
              <w:t xml:space="preserve">REASON IN THIS SEQUENCE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A5843A"/>
                <w:sz w:val="18"/>
                <w:szCs w:val="18"/>
              </w:rPr>
              <w:t xml:space="preserve">FOUNDATION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Man's Search for Meaning · Frankl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The existential starting point. Establishes what identity rooted in meaning looks like when every external structure has been removed.</w:t>
            </w:r>
          </w:p>
        </w:tc>
      </w:tr>
      <w:tr>
        <w:tc>
          <w:tcPr>
            <w:tcW w:type="dxa" w:w="14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b/>
                <w:bCs/>
                <w:color w:val="A5843A"/>
                <w:sz w:val="18"/>
                <w:szCs w:val="18"/>
              </w:rPr>
              <w:t xml:space="preserve">FOUNDATION</w:t>
            </w:r>
          </w:p>
        </w:tc>
        <w:tc>
          <w:tcPr>
            <w:tcW w:type="dxa" w:w="28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Meditations · Aurelius</w:t>
            </w:r>
          </w:p>
        </w:tc>
        <w:tc>
          <w:tcPr>
            <w:tcW w:type="dxa" w:w="51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The philosophical practice companion. Demonstrates daily what the character ethic looks like when it is not supported by institutional confirmation.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A5843A"/>
                <w:sz w:val="18"/>
                <w:szCs w:val="18"/>
              </w:rPr>
              <w:t xml:space="preserve">DIAGNOSIS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Ego Is the Enemy · Holiday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Names the specific failure pattern with precision. Read after Frankl and Aurelius to understand the mechanism, not just the symptom.</w:t>
            </w:r>
          </w:p>
        </w:tc>
      </w:tr>
      <w:tr>
        <w:tc>
          <w:tcPr>
            <w:tcW w:type="dxa" w:w="14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b/>
                <w:bCs/>
                <w:color w:val="A5843A"/>
                <w:sz w:val="18"/>
                <w:szCs w:val="18"/>
              </w:rPr>
              <w:t xml:space="preserve">DIAGNOSIS</w:t>
            </w:r>
          </w:p>
        </w:tc>
        <w:tc>
          <w:tcPr>
            <w:tcW w:type="dxa" w:w="28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Leadership and Self-Deception · Arbinger</w:t>
            </w:r>
          </w:p>
        </w:tc>
        <w:tc>
          <w:tcPr>
            <w:tcW w:type="dxa" w:w="51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The relational diagnostic. Examines how self-deception distorts identity from the inside without the leader's awareness. Best read alongside Holiday, not instead of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A5843A"/>
                <w:sz w:val="18"/>
                <w:szCs w:val="18"/>
              </w:rPr>
              <w:t xml:space="preserve">CONSTRUCTION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The 7 Habits of Highly Effective People · Covey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Builds the character ethic into a practical architecture. The private victory sequence (Habits 1-3) is the section most transition readers underweight.</w:t>
            </w:r>
          </w:p>
        </w:tc>
      </w:tr>
      <w:tr>
        <w:tc>
          <w:tcPr>
            <w:tcW w:type="dxa" w:w="14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b/>
                <w:bCs/>
                <w:color w:val="A5843A"/>
                <w:sz w:val="18"/>
                <w:szCs w:val="18"/>
              </w:rPr>
              <w:t xml:space="preserve">CONSTRUCTION</w:t>
            </w:r>
          </w:p>
        </w:tc>
        <w:tc>
          <w:tcPr>
            <w:tcW w:type="dxa" w:w="28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Start With Why · Sinek</w:t>
            </w:r>
          </w:p>
        </w:tc>
        <w:tc>
          <w:tcPr>
            <w:tcW w:type="dxa" w:w="51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Translates the identity work into a personal purpose framework. Most useful after Frankl's honest reckoning has established what the WHY is actually rooted 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A5843A"/>
                <w:sz w:val="18"/>
                <w:szCs w:val="18"/>
              </w:rPr>
              <w:t xml:space="preserve">CONSTRUCTION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The Servant as Leader · Greenleaf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Names what the leader moves toward when the identity work is done — not a new title, but a sustained orientation toward the growth of others.</w:t>
            </w:r>
          </w:p>
        </w:tc>
      </w:tr>
      <w:tr>
        <w:tc>
          <w:tcPr>
            <w:tcW w:type="dxa" w:w="14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b/>
                <w:bCs/>
                <w:color w:val="A5843A"/>
                <w:sz w:val="18"/>
                <w:szCs w:val="18"/>
              </w:rPr>
              <w:t xml:space="preserve">STRUCTURE</w:t>
            </w:r>
          </w:p>
        </w:tc>
        <w:tc>
          <w:tcPr>
            <w:tcW w:type="dxa" w:w="28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Leaders Eat Last · Sinek</w:t>
            </w:r>
          </w:p>
        </w:tc>
        <w:tc>
          <w:tcPr>
            <w:tcW w:type="dxa" w:w="51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The biological explanation of military belonging. Permission to name the loss accurately and framework for understanding what reconstruction requires.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A5843A"/>
                <w:sz w:val="18"/>
                <w:szCs w:val="18"/>
              </w:rPr>
              <w:t xml:space="preserve">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Good to Great · Collins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2C2C2C"/>
                <w:sz w:val="18"/>
                <w:szCs w:val="18"/>
              </w:rPr>
              <w:t xml:space="preserve">The civilian-credible validation that the character profile military development produces is precisely what the most sustained organizational excellence is built on.</w:t>
            </w:r>
          </w:p>
        </w:tc>
      </w:tr>
      <w:tr>
        <w:tc>
          <w:tcPr>
            <w:tcW w:type="dxa" w:w="14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b/>
                <w:bCs/>
                <w:color w:val="A5843A"/>
                <w:sz w:val="18"/>
                <w:szCs w:val="18"/>
              </w:rPr>
              <w:t xml:space="preserve">STRUCTURE</w:t>
            </w:r>
          </w:p>
        </w:tc>
        <w:tc>
          <w:tcPr>
            <w:tcW w:type="dxa" w:w="280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The Infinite Game · Sinek</w:t>
            </w:r>
          </w:p>
        </w:tc>
        <w:tc>
          <w:tcPr>
            <w:tcW w:type="dxa" w:w="516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80"/>
            </w:tcMar>
          </w:tcPr>
          <w:p>
            <w:r>
              <w:rPr>
                <w:rFonts w:ascii="Arial" w:cs="Arial" w:eastAsia="Arial" w:hAnsi="Arial"/>
                <w:color w:val="2C2C2C"/>
                <w:sz w:val="18"/>
                <w:szCs w:val="18"/>
              </w:rPr>
              <w:t xml:space="preserve">The long-horizon framing. Transforms the transition from an assessment of what was left behind into an active choice about what infinite game to advance next.</w:t>
            </w:r>
          </w:p>
        </w:tc>
      </w:tr>
    </w:tbl>
    <w:p>
      <w:pPr>
        <w:spacing w:after="0" w:before="200"/>
      </w:pPr>
    </w:p>
    <w:p>
      <w:pPr>
        <w:spacing w:after="120" w:before="320"/>
      </w:pPr>
      <w:r>
        <w:rPr>
          <w:rFonts w:ascii="Arial" w:cs="Arial" w:eastAsia="Arial" w:hAnsi="Arial"/>
          <w:b/>
          <w:bCs/>
          <w:caps/>
          <w:color w:val="1B2A4A"/>
          <w:sz w:val="28"/>
          <w:szCs w:val="28"/>
        </w:rPr>
        <w:t xml:space="preserve">Closing Reflection</w:t>
      </w:r>
    </w:p>
    <w:p>
      <w:pPr>
        <w:pBdr>
          <w:bottom w:val="single" w:color="A5843A" w:sz="6" w:space="1"/>
        </w:pBdr>
        <w:spacing w:after="80" w:before="80"/>
      </w:pPr>
    </w:p>
    <w:p>
      <w:pPr>
        <w:spacing w:after="0" w:before="100"/>
      </w:pPr>
    </w:p>
    <w:p>
      <w:pPr>
        <w:spacing w:after="80" w:before="80"/>
      </w:pPr>
      <w:r>
        <w:rPr>
          <w:rFonts w:ascii="Arial" w:cs="Arial" w:eastAsia="Arial" w:hAnsi="Arial"/>
          <w:i w:val="false"/>
          <w:iCs w:val="false"/>
          <w:color w:val="2C2C2C"/>
          <w:sz w:val="22"/>
          <w:szCs w:val="22"/>
        </w:rPr>
        <w:t xml:space="preserve">The question this Brief began with — who are you when the rank is gone? — is not a question that great books answer on your behalf. What they do, across traditions and centuries, is narrow the range of honest answers.</w:t>
      </w:r>
    </w:p>
    <w:p>
      <w:pPr>
        <w:spacing w:after="0" w:before="80"/>
      </w:pPr>
    </w:p>
    <w:p>
      <w:pPr>
        <w:spacing w:after="80" w:before="80"/>
      </w:pPr>
      <w:r>
        <w:rPr>
          <w:rFonts w:ascii="Arial" w:cs="Arial" w:eastAsia="Arial" w:hAnsi="Arial"/>
          <w:i w:val="false"/>
          <w:iCs w:val="false"/>
          <w:color w:val="2C2C2C"/>
          <w:sz w:val="22"/>
          <w:szCs w:val="22"/>
        </w:rPr>
        <w:t xml:space="preserve">The position was never the man. The title was never the virtue. The institution confirmed something that was already there — and the something that was already there is what the next chapter is built on. That is not a comforting claim or an inspiring one. It is a demanding one: it places the work squarely on the reader, refuses the comfort of the institutional frame, and insists that the character carried into the next chapter is the one genuinely worth building from.</w:t>
      </w:r>
    </w:p>
    <w:p>
      <w:pPr>
        <w:spacing w:after="0" w:before="80"/>
      </w:pPr>
    </w:p>
    <w:p>
      <w:pPr>
        <w:spacing w:after="80" w:before="80"/>
      </w:pPr>
      <w:r>
        <w:rPr>
          <w:rFonts w:ascii="Arial" w:cs="Arial" w:eastAsia="Arial" w:hAnsi="Arial"/>
          <w:i w:val="false"/>
          <w:iCs w:val="false"/>
          <w:color w:val="2C2C2C"/>
          <w:sz w:val="22"/>
          <w:szCs w:val="22"/>
        </w:rPr>
        <w:t xml:space="preserve">What the library establishes — through Frankl's testimony, Aurelius's practice, Holiday's diagnosis, Covey's architecture, Greenleaf's test, Sinek's biology, Collins's research, and the converging testimony of twelve other books — is this: the leaders who carry their effectiveness across the threshold are not the ones who had the least ego or the most self-awareness going in. They are the ones who were willing to examine what the institution had been providing and what they had actually built for themselves. The examination is uncomfortable. It is also, by the evidence of fifteen books that have nothing in common except their honesty about human leadership, the work that matters most.</w:t>
      </w:r>
    </w:p>
    <w:p>
      <w:pPr>
        <w:spacing w:after="0" w:before="80"/>
      </w:pPr>
    </w:p>
    <w:p>
      <w:pPr>
        <w:spacing w:after="80" w:before="80"/>
      </w:pPr>
      <w:r>
        <w:rPr>
          <w:rFonts w:ascii="Arial" w:cs="Arial" w:eastAsia="Arial" w:hAnsi="Arial"/>
          <w:i w:val="false"/>
          <w:iCs w:val="false"/>
          <w:color w:val="2C2C2C"/>
          <w:sz w:val="22"/>
          <w:szCs w:val="22"/>
        </w:rPr>
        <w:t xml:space="preserve">You have been doing this work your entire career. You simply did not have to call it by its name.</w:t>
      </w:r>
    </w:p>
    <w:p>
      <w:pPr>
        <w:spacing w:after="0" w:before="160"/>
      </w:pPr>
    </w:p>
    <w:p>
      <w:pPr>
        <w:pBdr>
          <w:bottom w:val="single" w:color="A5843A" w:sz="6" w:space="1"/>
        </w:pBdr>
        <w:spacing w:after="80" w:before="80"/>
      </w:pPr>
    </w:p>
    <w:p>
      <w:pPr>
        <w:spacing w:after="0" w:before="80"/>
      </w:pPr>
    </w:p>
    <w:p>
      <w:pPr>
        <w:jc w:val="center"/>
      </w:pPr>
      <w:r>
        <w:rPr>
          <w:rFonts w:ascii="Arial" w:cs="Arial" w:eastAsia="Arial" w:hAnsi="Arial"/>
          <w:i/>
          <w:iCs/>
          <w:color w:val="6B7A8D"/>
          <w:sz w:val="18"/>
          <w:szCs w:val="18"/>
        </w:rPr>
        <w:t xml:space="preserve">Leadership Through Transition  ·  Wisdom Brief  ·  Identity Beyond Rank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2026-06-13T05:19:12.538Z</dcterms:created>
  <dcterms:modified xsi:type="dcterms:W3CDTF">2026-06-13T05:19:12.538Z</dcterms:modified>
</cp:coreProperties>
</file>

<file path=docProps/custom.xml><?xml version="1.0" encoding="utf-8"?>
<Properties xmlns="http://schemas.openxmlformats.org/officeDocument/2006/custom-properties" xmlns:vt="http://schemas.openxmlformats.org/officeDocument/2006/docPropsVTypes"/>
</file>