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02" w:rsidRDefault="00FB2A2E" w:rsidP="00EE35E4">
      <w:pPr>
        <w:jc w:val="both"/>
        <w:rPr>
          <w:lang w:val="en-GB"/>
        </w:rPr>
      </w:pPr>
      <w:r>
        <w:rPr>
          <w:lang w:val="en-GB"/>
        </w:rPr>
        <w:t>Source Collection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darkCyan"/>
          <w:lang w:val="en-GB"/>
        </w:rPr>
        <w:t>Gamification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yellow"/>
          <w:lang w:val="en-GB"/>
        </w:rPr>
        <w:t>Effects of games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red"/>
          <w:lang w:val="en-GB"/>
        </w:rPr>
        <w:t>Games suited for education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magenta"/>
          <w:lang w:val="en-GB"/>
        </w:rPr>
        <w:t>The use of games in learning – Case Study Section</w:t>
      </w: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t>[Source Name]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14"/>
        <w:gridCol w:w="8312"/>
      </w:tblGrid>
      <w:tr w:rsidR="00B6786B" w:rsidTr="00532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6786B" w:rsidRDefault="00B6786B" w:rsidP="00EE35E4">
      <w:pPr>
        <w:jc w:val="both"/>
        <w:rPr>
          <w:lang w:val="en-GB"/>
        </w:rPr>
      </w:pPr>
    </w:p>
    <w:p w:rsidR="001C60A7" w:rsidRDefault="001C60A7">
      <w:pPr>
        <w:rPr>
          <w:lang w:val="en-GB"/>
        </w:rPr>
      </w:pPr>
      <w:r>
        <w:rPr>
          <w:lang w:val="en-GB"/>
        </w:rPr>
        <w:br w:type="page"/>
      </w: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lastRenderedPageBreak/>
        <w:t xml:space="preserve"> [</w:t>
      </w:r>
      <w:r w:rsidRPr="00B6786B">
        <w:rPr>
          <w:lang w:val="en-GB"/>
        </w:rPr>
        <w:t>Choose your own training adventure: designing a gamified SETA artefact for improving information security and privacy through interactive storytelling</w:t>
      </w:r>
      <w:r>
        <w:rPr>
          <w:lang w:val="en-GB"/>
        </w:rPr>
        <w:t>]</w:t>
      </w: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t>[</w:t>
      </w:r>
      <w:proofErr w:type="spellStart"/>
      <w:r>
        <w:rPr>
          <w:rStyle w:val="fontstyle01"/>
        </w:rPr>
        <w:t>Ersin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Dincelli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InduShobha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Chengalur</w:t>
      </w:r>
      <w:proofErr w:type="spellEnd"/>
      <w:r>
        <w:rPr>
          <w:rStyle w:val="fontstyle01"/>
        </w:rPr>
        <w:t>-Smith</w:t>
      </w:r>
      <w:r>
        <w:rPr>
          <w:lang w:val="en-GB"/>
        </w:rPr>
        <w:t>]</w:t>
      </w:r>
    </w:p>
    <w:tbl>
      <w:tblPr>
        <w:tblStyle w:val="PlainTable3"/>
        <w:tblW w:w="0" w:type="auto"/>
        <w:tblBorders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8312"/>
      </w:tblGrid>
      <w:tr w:rsidR="00B6786B" w:rsidTr="001C6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4" w:type="dxa"/>
            <w:tcBorders>
              <w:bottom w:val="none" w:sz="0" w:space="0" w:color="auto"/>
              <w:right w:val="none" w:sz="0" w:space="0" w:color="auto"/>
            </w:tcBorders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8312" w:type="dxa"/>
            <w:tcBorders>
              <w:bottom w:val="none" w:sz="0" w:space="0" w:color="auto"/>
            </w:tcBorders>
          </w:tcPr>
          <w:p w:rsidR="00B6786B" w:rsidRDefault="00B6786B" w:rsidP="00EE35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</w:tr>
      <w:tr w:rsidR="00B6786B" w:rsidTr="001C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right w:val="none" w:sz="0" w:space="0" w:color="auto"/>
            </w:tcBorders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670</w:t>
            </w: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6786B">
              <w:rPr>
                <w:rFonts w:ascii="MinionPro-Regular" w:hAnsi="MinionPro-Regular"/>
                <w:color w:val="000000"/>
              </w:rPr>
              <w:t>Gamified systems provide a new method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design tailored programmes that not only educate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users but also motivate them to learn and be engaged</w:t>
            </w:r>
            <w:r>
              <w:rPr>
                <w:rFonts w:ascii="MinionPro-Regular" w:hAnsi="MinionPro-Regular"/>
                <w:color w:val="000000"/>
              </w:rPr>
              <w:t xml:space="preserve"> in tasks that they would </w:t>
            </w:r>
            <w:r w:rsidRPr="00B6786B">
              <w:rPr>
                <w:rFonts w:ascii="MinionPro-Regular" w:hAnsi="MinionPro-Regular"/>
                <w:color w:val="000000"/>
              </w:rPr>
              <w:t>otherwise consider tedious or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difficult</w:t>
            </w:r>
            <w:r>
              <w:rPr>
                <w:rFonts w:ascii="MinionPro-Regular" w:hAnsi="MinionPro-Regular"/>
                <w:color w:val="000000"/>
              </w:rPr>
              <w:t xml:space="preserve"> (</w:t>
            </w:r>
            <w:proofErr w:type="spellStart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Hanus</w:t>
            </w:r>
            <w:proofErr w:type="spellEnd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&amp; Fox,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2015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6786B">
              <w:rPr>
                <w:rFonts w:ascii="MinionPro-Regular" w:hAnsi="MinionPro-Regular"/>
                <w:color w:val="000000"/>
              </w:rPr>
              <w:t>Firstly, gamification has been effective in increasing</w:t>
            </w:r>
            <w:r w:rsidR="00D26341"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engagement, changing behaviours, and learning new</w:t>
            </w:r>
            <w:r w:rsidR="00D26341"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problem-solving skills in a variety of fields (</w:t>
            </w:r>
            <w:proofErr w:type="spellStart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Osatuyi</w:t>
            </w:r>
            <w:proofErr w:type="spellEnd"/>
            <w:r w:rsidR="00D26341"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2018</w:t>
            </w:r>
            <w:r w:rsidRPr="00B6786B">
              <w:rPr>
                <w:rFonts w:ascii="MinionPro-Regular" w:hAnsi="MinionPro-Regular"/>
                <w:color w:val="000000"/>
              </w:rPr>
              <w:t>), but not all applications are successful (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Liu</w:t>
            </w:r>
            <w:r w:rsidR="00D26341"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2017</w:t>
            </w:r>
            <w:r w:rsidRPr="00B6786B">
              <w:rPr>
                <w:rFonts w:ascii="MinionPro-Regular" w:hAnsi="MinionPro-Regular"/>
                <w:color w:val="000000"/>
              </w:rPr>
              <w:t>)</w:t>
            </w: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86B">
              <w:rPr>
                <w:rFonts w:ascii="MinionPro-Regular" w:hAnsi="MinionPro-Regular"/>
                <w:color w:val="000000"/>
              </w:rPr>
              <w:t>Thirdly, one of the few studies to apply gamification to data pri</w:t>
            </w:r>
            <w:r>
              <w:rPr>
                <w:rFonts w:ascii="MinionPro-Regular" w:hAnsi="MinionPro-Regular"/>
                <w:color w:val="000000"/>
              </w:rPr>
              <w:t xml:space="preserve">vacy training found </w:t>
            </w:r>
            <w:r w:rsidRPr="00B6786B">
              <w:rPr>
                <w:rFonts w:ascii="MinionPro-Regular" w:hAnsi="MinionPro-Regular"/>
                <w:color w:val="000000"/>
              </w:rPr>
              <w:t>evidence that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gamification approach increased participants’ awareness ab</w:t>
            </w:r>
            <w:r>
              <w:rPr>
                <w:rFonts w:ascii="MinionPro-Regular" w:hAnsi="MinionPro-Regular"/>
                <w:color w:val="000000"/>
              </w:rPr>
              <w:t xml:space="preserve">out their own data privacy, but </w:t>
            </w:r>
            <w:r w:rsidRPr="00B6786B">
              <w:rPr>
                <w:rFonts w:ascii="MinionPro-Regular" w:hAnsi="MinionPro-Regular"/>
                <w:color w:val="000000"/>
              </w:rPr>
              <w:t>found no evidence that gamification improved learning relative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non-gamified approaches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(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Baxter 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2016</w:t>
            </w:r>
            <w:r w:rsidRPr="00B6786B">
              <w:rPr>
                <w:rFonts w:ascii="MinionPro-Regular" w:hAnsi="MinionPro-Regular"/>
                <w:color w:val="000000"/>
              </w:rPr>
              <w:t>).</w:t>
            </w:r>
          </w:p>
        </w:tc>
      </w:tr>
      <w:tr w:rsidR="00B6786B" w:rsidTr="001C6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right w:val="none" w:sz="0" w:space="0" w:color="auto"/>
            </w:tcBorders>
          </w:tcPr>
          <w:p w:rsidR="00B6786B" w:rsidRDefault="00EF4A10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672</w:t>
            </w:r>
          </w:p>
        </w:tc>
        <w:tc>
          <w:tcPr>
            <w:tcW w:w="8312" w:type="dxa"/>
          </w:tcPr>
          <w:p w:rsidR="00EE35E4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F4A10">
              <w:rPr>
                <w:rFonts w:ascii="MinionPro-Regular" w:hAnsi="MinionPro-Regular"/>
                <w:color w:val="000000"/>
              </w:rPr>
              <w:t>To increase the effectiveness of SETA programmes,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Karjalainen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and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Siponen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(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2011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EF4A10">
              <w:rPr>
                <w:rFonts w:ascii="MinionPro-Regular" w:hAnsi="MinionPro-Regular"/>
                <w:color w:val="000000"/>
              </w:rPr>
              <w:t xml:space="preserve"> recommend using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transformation-oriented training that is directed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towards changing attitudes and behaviour by connecting wit</w:t>
            </w:r>
            <w:r w:rsidR="00EE35E4">
              <w:rPr>
                <w:rFonts w:ascii="MinionPro-Regular" w:hAnsi="MinionPro-Regular"/>
                <w:color w:val="000000"/>
              </w:rPr>
              <w:t>h the learners’ experiences and a</w:t>
            </w:r>
            <w:r w:rsidRPr="00EF4A10">
              <w:rPr>
                <w:rFonts w:ascii="MinionPro-Regular" w:hAnsi="MinionPro-Regular"/>
                <w:color w:val="000000"/>
              </w:rPr>
              <w:t>llowing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learning to occur by evaluating the new knowledge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 xml:space="preserve">they have gained and its personal relevance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  <w:r w:rsidRPr="00EF4A10">
              <w:rPr>
                <w:rFonts w:ascii="MinionPro-Regular" w:hAnsi="MinionPro-Regular"/>
                <w:color w:val="000000"/>
              </w:rPr>
              <w:t xml:space="preserve"> 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3614C4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F4A10">
              <w:rPr>
                <w:rFonts w:ascii="MinionPro-Regular" w:hAnsi="MinionPro-Regular"/>
                <w:color w:val="000000"/>
              </w:rPr>
              <w:t>Gamification can be used as part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a transformation-oriented training as it heightens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user experiences and allows learners to self-reflect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(</w:t>
            </w:r>
            <w:proofErr w:type="spellStart"/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>Osatuyi</w:t>
            </w:r>
            <w:proofErr w:type="spellEnd"/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 xml:space="preserve"> et al., </w:t>
            </w:r>
            <w:r w:rsidRPr="00EE35E4">
              <w:rPr>
                <w:rFonts w:ascii="MinionPro-Regular" w:hAnsi="MinionPro-Regular"/>
                <w:color w:val="000080"/>
                <w:highlight w:val="darkYellow"/>
              </w:rPr>
              <w:t>2018</w:t>
            </w:r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  <w:r w:rsidRPr="00EF4A10">
              <w:rPr>
                <w:rFonts w:ascii="MinionPro-Regular" w:hAnsi="MinionPro-Regular"/>
                <w:color w:val="000000"/>
              </w:rPr>
              <w:t xml:space="preserve"> </w:t>
            </w: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4A10">
              <w:rPr>
                <w:rFonts w:ascii="MinionPro-Regular" w:hAnsi="MinionPro-Regular"/>
                <w:color w:val="000000"/>
              </w:rPr>
              <w:t>Game-based learning is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a technique that integrates games into instructional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content by incorporating the characteristics of com</w:t>
            </w:r>
            <w:r>
              <w:rPr>
                <w:rFonts w:ascii="MinionPro-Regular" w:hAnsi="MinionPro-Regular"/>
                <w:color w:val="000000"/>
              </w:rPr>
              <w:t xml:space="preserve">puter games to engage users and </w:t>
            </w:r>
            <w:r w:rsidRPr="00EF4A10">
              <w:rPr>
                <w:rFonts w:ascii="MinionPro-Regular" w:hAnsi="MinionPro-Regular"/>
                <w:color w:val="000000"/>
              </w:rPr>
              <w:t>positively influence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learning outcomes (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Hamari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&amp;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Nousiainen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2015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4A10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  <w:r w:rsidRPr="00EE35E4">
              <w:rPr>
                <w:rFonts w:ascii="MinionPro-Regular" w:hAnsi="MinionPro-Regular"/>
                <w:color w:val="000000"/>
              </w:rPr>
              <w:t>Learning science research has established that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games are one of the most effective learning methods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and can be highly motivational if they follow certain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design principles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FF0000"/>
              </w:rPr>
              <w:t>(Quinn, 2005).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E35E4">
              <w:rPr>
                <w:rFonts w:ascii="MinionPro-Regular" w:hAnsi="MinionPro-Regular"/>
                <w:color w:val="000000"/>
              </w:rPr>
              <w:t>One such design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 xml:space="preserve">principle, </w:t>
            </w:r>
            <w:r w:rsidRPr="00EE35E4">
              <w:rPr>
                <w:rFonts w:ascii="MinionPro-It" w:hAnsi="MinionPro-It"/>
                <w:i/>
                <w:iCs/>
                <w:color w:val="000000"/>
              </w:rPr>
              <w:t>story-based agent</w:t>
            </w:r>
            <w:r w:rsidRPr="00EE35E4">
              <w:rPr>
                <w:rFonts w:ascii="MinionPro-Regular" w:hAnsi="MinionPro-Regular"/>
                <w:color w:val="000000"/>
              </w:rPr>
              <w:t>, advocates for the use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ag</w:t>
            </w:r>
            <w:r>
              <w:rPr>
                <w:rFonts w:ascii="MinionPro-Regular" w:hAnsi="MinionPro-Regular"/>
                <w:color w:val="000000"/>
              </w:rPr>
              <w:t xml:space="preserve">ents (cartoon-like or real-life </w:t>
            </w:r>
            <w:r w:rsidRPr="00EE35E4">
              <w:rPr>
                <w:rFonts w:ascii="MinionPro-Regular" w:hAnsi="MinionPro-Regular"/>
                <w:color w:val="000000"/>
              </w:rPr>
              <w:t>characters) as part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the story-based content to help to guide users through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 xml:space="preserve">the learning process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7030A0"/>
              </w:rPr>
            </w:pPr>
            <w:r w:rsidRPr="003614C4">
              <w:rPr>
                <w:rFonts w:ascii="MinionPro-Regular" w:hAnsi="MinionPro-Regular"/>
                <w:color w:val="7030A0"/>
              </w:rPr>
              <w:t>The use of storytelling in security gamification can stimulate curiosity and challenge users (</w:t>
            </w:r>
            <w:proofErr w:type="spellStart"/>
            <w:r w:rsidRPr="003614C4">
              <w:rPr>
                <w:rFonts w:ascii="MinionPro-Regular" w:hAnsi="MinionPro-Regular"/>
                <w:color w:val="7030A0"/>
              </w:rPr>
              <w:t>Kapp</w:t>
            </w:r>
            <w:proofErr w:type="spellEnd"/>
            <w:r w:rsidRPr="003614C4">
              <w:rPr>
                <w:rFonts w:ascii="MinionPro-Regular" w:hAnsi="MinionPro-Regular"/>
                <w:color w:val="7030A0"/>
              </w:rPr>
              <w:t>, 2012).</w:t>
            </w:r>
          </w:p>
          <w:p w:rsidR="00B84C08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7030A0"/>
              </w:rPr>
            </w:pPr>
          </w:p>
          <w:p w:rsidR="003614C4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Interactive storytelling that enables learners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make their own decisions that alter the course of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storyline and create dynamic narratives, such as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CYOA-style stories, can also improve learning 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 xml:space="preserve">(Gaeta et al., </w:t>
            </w:r>
            <w:r w:rsidRPr="006B3793">
              <w:rPr>
                <w:rFonts w:ascii="MinionPro-Regular" w:hAnsi="MinionPro-Regular"/>
                <w:color w:val="000080"/>
                <w:highlight w:val="darkYellow"/>
              </w:rPr>
              <w:t>2014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B84C08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Pr="003614C4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lang w:val="en-GB"/>
              </w:rPr>
            </w:pPr>
            <w:r w:rsidRPr="00B84C08">
              <w:rPr>
                <w:rFonts w:ascii="MinionPro-Regular" w:hAnsi="MinionPro-Regular"/>
                <w:color w:val="000000"/>
              </w:rPr>
              <w:t xml:space="preserve">Another learning design principle, </w:t>
            </w:r>
            <w:r w:rsidRPr="00B84C08">
              <w:rPr>
                <w:rFonts w:ascii="MinionPro-It" w:hAnsi="MinionPro-It"/>
                <w:i/>
                <w:iCs/>
                <w:color w:val="000000"/>
              </w:rPr>
              <w:t>reflection</w:t>
            </w:r>
            <w:r w:rsidRPr="00B84C08">
              <w:rPr>
                <w:rFonts w:ascii="MinionPro-Regular" w:hAnsi="MinionPro-Regular"/>
                <w:color w:val="000000"/>
              </w:rPr>
              <w:t>, advocates that games should provide opportunities for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users to stop and think, i.e., reflect on the new knowledge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they have gained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B84C08">
              <w:rPr>
                <w:rFonts w:ascii="MinionPro-Regular" w:hAnsi="MinionPro-Regular"/>
                <w:color w:val="000000"/>
              </w:rPr>
              <w:t>).</w:t>
            </w:r>
          </w:p>
          <w:p w:rsidR="00EF4A10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1C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right w:val="none" w:sz="0" w:space="0" w:color="auto"/>
            </w:tcBorders>
          </w:tcPr>
          <w:p w:rsidR="00B6786B" w:rsidRDefault="00B84C08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673</w:t>
            </w:r>
          </w:p>
        </w:tc>
        <w:tc>
          <w:tcPr>
            <w:tcW w:w="8312" w:type="dxa"/>
          </w:tcPr>
          <w:p w:rsidR="00B6786B" w:rsidRPr="009911E4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Textual content is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stored in our short-term memory, whereas visual content </w:t>
            </w:r>
            <w:r>
              <w:rPr>
                <w:rFonts w:ascii="MinionPro-Regular" w:hAnsi="MinionPro-Regular"/>
                <w:color w:val="000000"/>
              </w:rPr>
              <w:t xml:space="preserve">goes into our long-term memory, </w:t>
            </w:r>
            <w:r w:rsidRPr="00B84C08">
              <w:rPr>
                <w:rFonts w:ascii="MinionPro-Regular" w:hAnsi="MinionPro-Regular"/>
                <w:color w:val="000000"/>
              </w:rPr>
              <w:t>where information is stored over an extended period of time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9911E4">
              <w:rPr>
                <w:rFonts w:ascii="MinionPro-Regular" w:hAnsi="MinionPro-Regular"/>
                <w:color w:val="FF0000"/>
              </w:rPr>
              <w:t>(</w:t>
            </w:r>
            <w:proofErr w:type="spellStart"/>
            <w:r w:rsidRPr="009911E4">
              <w:rPr>
                <w:rFonts w:ascii="MinionPro-Regular" w:hAnsi="MinionPro-Regular"/>
                <w:color w:val="FF0000"/>
              </w:rPr>
              <w:t>Burmark</w:t>
            </w:r>
            <w:proofErr w:type="spellEnd"/>
            <w:r w:rsidRPr="009911E4">
              <w:rPr>
                <w:rFonts w:ascii="MinionPro-Regular" w:hAnsi="MinionPro-Regular"/>
                <w:color w:val="FF0000"/>
              </w:rPr>
              <w:t>, 2002).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lastRenderedPageBreak/>
              <w:t>The human brain processes visual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information much faster </w:t>
            </w:r>
            <w:r w:rsidRPr="009911E4">
              <w:rPr>
                <w:rFonts w:ascii="MinionPro-Regular" w:hAnsi="MinionPro-Regular"/>
                <w:color w:val="FF0000"/>
              </w:rPr>
              <w:t>(</w:t>
            </w:r>
            <w:proofErr w:type="spellStart"/>
            <w:r w:rsidRPr="009911E4">
              <w:rPr>
                <w:rFonts w:ascii="MinionPro-Regular" w:hAnsi="MinionPro-Regular"/>
                <w:color w:val="FF0000"/>
              </w:rPr>
              <w:t>Hyerle</w:t>
            </w:r>
            <w:proofErr w:type="spellEnd"/>
            <w:r w:rsidRPr="009911E4">
              <w:rPr>
                <w:rFonts w:ascii="MinionPro-Regular" w:hAnsi="MinionPro-Regular"/>
                <w:color w:val="FF0000"/>
              </w:rPr>
              <w:t xml:space="preserve">, 2000) </w:t>
            </w:r>
            <w:r w:rsidRPr="00B84C08">
              <w:rPr>
                <w:rFonts w:ascii="MinionPro-Regular" w:hAnsi="MinionPro-Regular"/>
                <w:color w:val="000000"/>
              </w:rPr>
              <w:t xml:space="preserve">and more effectively 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 xml:space="preserve">(Thorpe et al., </w:t>
            </w:r>
            <w:r w:rsidRPr="006B3793">
              <w:rPr>
                <w:rFonts w:ascii="MinionPro-Regular" w:hAnsi="MinionPro-Regular"/>
                <w:color w:val="000080"/>
                <w:highlight w:val="darkYellow"/>
              </w:rPr>
              <w:t>1996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B84C08">
              <w:rPr>
                <w:rFonts w:ascii="MinionPro-Regular" w:hAnsi="MinionPro-Regular"/>
                <w:color w:val="000000"/>
              </w:rPr>
              <w:t xml:space="preserve"> than text.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Nevertheless, there appears to be some consensus in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the recent literature that visual cues improve memorability a</w:t>
            </w:r>
            <w:r>
              <w:rPr>
                <w:rFonts w:ascii="MinionPro-Regular" w:hAnsi="MinionPro-Regular"/>
                <w:color w:val="000000"/>
              </w:rPr>
              <w:t>nd user experience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Liu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2017</w:t>
            </w:r>
            <w:r w:rsidRPr="00B84C08">
              <w:rPr>
                <w:rFonts w:ascii="MinionPro-Regular" w:hAnsi="MinionPro-Regular"/>
                <w:color w:val="000000"/>
              </w:rPr>
              <w:t xml:space="preserve">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Mayhorn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Nyeste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2012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),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while detracting from performance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due to cognitive overload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Jenkins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2012</w:t>
            </w:r>
            <w:r w:rsidRPr="00B84C08">
              <w:rPr>
                <w:rFonts w:ascii="MinionPro-Regular" w:hAnsi="MinionPro-Regular"/>
                <w:color w:val="000000"/>
              </w:rPr>
              <w:t>;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Mirkovski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2019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1C6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right w:val="none" w:sz="0" w:space="0" w:color="auto"/>
            </w:tcBorders>
          </w:tcPr>
          <w:p w:rsidR="00B6786B" w:rsidRDefault="00B84C08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682</w:t>
            </w:r>
          </w:p>
        </w:tc>
        <w:tc>
          <w:tcPr>
            <w:tcW w:w="8312" w:type="dxa"/>
          </w:tcPr>
          <w:p w:rsidR="00B6786B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84C08">
              <w:rPr>
                <w:rFonts w:ascii="MinionPro-Regular" w:hAnsi="MinionPro-Regular"/>
                <w:color w:val="000000"/>
              </w:rPr>
              <w:t>Although this finding was consistent with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previous research, visual-based interventions might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still b</w:t>
            </w:r>
            <w:r>
              <w:rPr>
                <w:rFonts w:ascii="MinionPro-Regular" w:hAnsi="MinionPro-Regular"/>
                <w:color w:val="000000"/>
              </w:rPr>
              <w:t xml:space="preserve">e more effective for particular </w:t>
            </w:r>
            <w:r w:rsidRPr="00B84C08">
              <w:rPr>
                <w:rFonts w:ascii="MinionPro-Regular" w:hAnsi="MinionPro-Regular"/>
                <w:color w:val="000000"/>
              </w:rPr>
              <w:t>populations, such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as young adults 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(Liang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Xue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2010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B84C08">
              <w:rPr>
                <w:rFonts w:ascii="MinionPro-Regular" w:hAnsi="MinionPro-Regular"/>
                <w:color w:val="000000"/>
              </w:rPr>
              <w:t>, senior citizens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Carpenter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Buday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),</w:t>
            </w:r>
            <w:r w:rsidRPr="00B84C08">
              <w:rPr>
                <w:rFonts w:ascii="MinionPro-Regular" w:hAnsi="MinionPro-Regular"/>
                <w:color w:val="000000"/>
              </w:rPr>
              <w:t xml:space="preserve"> or gamers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Baxter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2016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</w:tc>
      </w:tr>
      <w:tr w:rsidR="003614C4" w:rsidTr="001C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3614C4" w:rsidRDefault="003614C4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3614C4" w:rsidRDefault="003614C4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1C60A7" w:rsidRDefault="001C60A7">
      <w:pPr>
        <w:rPr>
          <w:lang w:val="en-GB"/>
        </w:rPr>
      </w:pPr>
      <w:r>
        <w:rPr>
          <w:lang w:val="en-GB"/>
        </w:rPr>
        <w:br w:type="page"/>
      </w:r>
    </w:p>
    <w:p w:rsidR="001C60A7" w:rsidRDefault="001C60A7" w:rsidP="001C60A7">
      <w:pPr>
        <w:jc w:val="both"/>
        <w:rPr>
          <w:lang w:val="en-GB"/>
        </w:rPr>
      </w:pPr>
      <w:r>
        <w:rPr>
          <w:lang w:val="en-GB"/>
        </w:rPr>
        <w:lastRenderedPageBreak/>
        <w:t>[Source Name]</w:t>
      </w:r>
    </w:p>
    <w:p w:rsidR="001C60A7" w:rsidRDefault="001C60A7" w:rsidP="001C60A7">
      <w:pPr>
        <w:jc w:val="both"/>
        <w:rPr>
          <w:lang w:val="en-GB"/>
        </w:rPr>
      </w:pPr>
      <w:r>
        <w:rPr>
          <w:lang w:val="en-GB"/>
        </w:rPr>
        <w:t>[]</w:t>
      </w:r>
      <w:bookmarkStart w:id="0" w:name="_GoBack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14"/>
        <w:gridCol w:w="8312"/>
      </w:tblGrid>
      <w:tr w:rsidR="001C60A7" w:rsidTr="006A3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</w:tr>
      <w:tr w:rsidR="001C60A7" w:rsidTr="006A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C60A7" w:rsidTr="006A3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C60A7" w:rsidTr="006A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C60A7" w:rsidTr="006A3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C60A7" w:rsidTr="006A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C60A7" w:rsidRDefault="001C60A7" w:rsidP="001C60A7">
      <w:pPr>
        <w:jc w:val="both"/>
        <w:rPr>
          <w:lang w:val="en-GB"/>
        </w:rPr>
      </w:pPr>
    </w:p>
    <w:p w:rsidR="001C60A7" w:rsidRDefault="001C60A7" w:rsidP="001C60A7">
      <w:pPr>
        <w:rPr>
          <w:lang w:val="en-GB"/>
        </w:rPr>
      </w:pPr>
      <w:r>
        <w:rPr>
          <w:lang w:val="en-GB"/>
        </w:rPr>
        <w:br w:type="page"/>
      </w:r>
    </w:p>
    <w:p w:rsidR="001C60A7" w:rsidRPr="00FB2A2E" w:rsidRDefault="001C60A7" w:rsidP="001C60A7">
      <w:pPr>
        <w:jc w:val="both"/>
        <w:rPr>
          <w:lang w:val="en-GB"/>
        </w:rPr>
      </w:pPr>
    </w:p>
    <w:sectPr w:rsidR="001C60A7" w:rsidRPr="00FB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2"/>
    <w:rsid w:val="001A1E6F"/>
    <w:rsid w:val="001C60A7"/>
    <w:rsid w:val="003614C4"/>
    <w:rsid w:val="004B01F4"/>
    <w:rsid w:val="00510572"/>
    <w:rsid w:val="006B3793"/>
    <w:rsid w:val="006C331B"/>
    <w:rsid w:val="007B66B7"/>
    <w:rsid w:val="009911E4"/>
    <w:rsid w:val="00B05DBD"/>
    <w:rsid w:val="00B6786B"/>
    <w:rsid w:val="00B84C08"/>
    <w:rsid w:val="00CE5263"/>
    <w:rsid w:val="00D26341"/>
    <w:rsid w:val="00E514D6"/>
    <w:rsid w:val="00ED6E5C"/>
    <w:rsid w:val="00EE35E4"/>
    <w:rsid w:val="00EF4A10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87C7C"/>
  <w15:chartTrackingRefBased/>
  <w15:docId w15:val="{DF1D6804-FD52-49D4-B7A3-848A2C1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678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B6786B"/>
    <w:rPr>
      <w:rFonts w:ascii="OpenSans-Semibold" w:hAnsi="OpenSans-Semibol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35E4"/>
    <w:rPr>
      <w:rFonts w:ascii="MinionPro-It" w:hAnsi="MinionPro-I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RKW-PostGrad</dc:creator>
  <cp:keywords/>
  <dc:description/>
  <cp:lastModifiedBy>RKW-PostGrad</cp:lastModifiedBy>
  <cp:revision>14</cp:revision>
  <dcterms:created xsi:type="dcterms:W3CDTF">2021-06-07T14:27:00Z</dcterms:created>
  <dcterms:modified xsi:type="dcterms:W3CDTF">2021-06-08T14:56:00Z</dcterms:modified>
</cp:coreProperties>
</file>