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39" w:rsidRDefault="00CC1139" w:rsidP="00CC1139">
      <w:pPr>
        <w:spacing w:after="0"/>
        <w:rPr>
          <w:rFonts w:cs="Arial"/>
        </w:rPr>
      </w:pPr>
      <w:r>
        <w:rPr>
          <w:rFonts w:cs="Arial"/>
        </w:rPr>
        <w:t>Introduction</w:t>
      </w:r>
    </w:p>
    <w:p w:rsidR="00CC1139" w:rsidRPr="005F73C6" w:rsidRDefault="00CC1139" w:rsidP="00CC1139">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CC1139" w:rsidRPr="005F73C6" w:rsidRDefault="00CC1139" w:rsidP="00CC1139">
      <w:pPr>
        <w:spacing w:after="0"/>
        <w:rPr>
          <w:rFonts w:cs="Arial"/>
        </w:rPr>
      </w:pPr>
    </w:p>
    <w:p w:rsidR="00CC1139" w:rsidRDefault="00CC1139" w:rsidP="00CC1139">
      <w:pPr>
        <w:spacing w:after="0"/>
        <w:rPr>
          <w:rFonts w:cs="Arial"/>
        </w:rPr>
      </w:pPr>
      <w:proofErr w:type="spellStart"/>
      <w:r w:rsidRPr="005F73C6">
        <w:rPr>
          <w:rFonts w:cs="Arial"/>
        </w:rPr>
        <w:t>Ackoff</w:t>
      </w:r>
      <w:proofErr w:type="spellEnd"/>
      <w:r w:rsidRPr="005F73C6">
        <w:rPr>
          <w:rFonts w:cs="Arial"/>
        </w:rPr>
        <w:t xml:space="preserve">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Pr>
          <w:rFonts w:cs="Arial"/>
          <w:noProof/>
        </w:rPr>
        <w:t>(Ackoff &amp; Greenberg, 2008)</w:t>
      </w:r>
      <w:r w:rsidRPr="005F73C6">
        <w:rPr>
          <w:rFonts w:cs="Arial"/>
        </w:rPr>
        <w:fldChar w:fldCharType="end"/>
      </w:r>
      <w:r w:rsidRPr="005F73C6">
        <w:rPr>
          <w:rFonts w:cs="Arial"/>
        </w:rPr>
        <w:t xml:space="preserve">. </w:t>
      </w:r>
      <w:r>
        <w:rPr>
          <w:rFonts w:cs="Arial"/>
        </w:rPr>
        <w:t xml:space="preserve">It is a system that is designed to keep moving often employing a “No Child Left Behind” policy which results in almost no time for anything other than the standardised and constantly measured curriculum </w:t>
      </w:r>
      <w:r>
        <w:rPr>
          <w:rFonts w:cs="Arial"/>
        </w:rPr>
        <w:fldChar w:fldCharType="begin"/>
      </w:r>
      <w:r>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Pr>
          <w:rFonts w:cs="Arial"/>
        </w:rPr>
        <w:fldChar w:fldCharType="separate"/>
      </w:r>
      <w:r>
        <w:rPr>
          <w:rFonts w:cs="Arial"/>
          <w:noProof/>
        </w:rPr>
        <w:t xml:space="preserve">(Gibson </w:t>
      </w:r>
      <w:r w:rsidRPr="00106A65">
        <w:rPr>
          <w:rFonts w:cs="Arial"/>
          <w:i/>
          <w:noProof/>
        </w:rPr>
        <w:t>et al</w:t>
      </w:r>
      <w:r>
        <w:rPr>
          <w:rFonts w:cs="Arial"/>
          <w:noProof/>
        </w:rPr>
        <w:t>., 2006)</w:t>
      </w:r>
      <w:r>
        <w:rPr>
          <w:rFonts w:cs="Arial"/>
        </w:rPr>
        <w:fldChar w:fldCharType="end"/>
      </w:r>
      <w:r>
        <w:rPr>
          <w:rFonts w:cs="Arial"/>
        </w:rPr>
        <w:t xml:space="preserve">. </w:t>
      </w:r>
    </w:p>
    <w:p w:rsidR="00423962" w:rsidRDefault="00423962"/>
    <w:p w:rsidR="00CC1139" w:rsidRDefault="00CC1139" w:rsidP="00CC1139">
      <w:pPr>
        <w:spacing w:after="0"/>
        <w:rPr>
          <w:rFonts w:cs="Arial"/>
          <w:color w:val="000000" w:themeColor="text1"/>
        </w:rPr>
      </w:pPr>
      <w:r w:rsidRPr="005F73C6">
        <w:rPr>
          <w:rFonts w:cs="Arial"/>
          <w:color w:val="000000" w:themeColor="text1"/>
        </w:rPr>
        <w:t>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w:t>
      </w:r>
      <w:r>
        <w:rPr>
          <w:rFonts w:cs="Arial"/>
          <w:color w:val="000000" w:themeColor="text1"/>
        </w:rPr>
        <w:t>-</w:t>
      </w:r>
      <w:r w:rsidRPr="005F73C6">
        <w:rPr>
          <w:rFonts w:cs="Arial"/>
          <w:color w:val="000000" w:themeColor="text1"/>
        </w:rPr>
        <w:t xml:space="preserve">increasing rate due to further technological developments </w:t>
      </w:r>
      <w:r w:rsidRPr="00CC1139">
        <w:rPr>
          <w:rFonts w:cs="Arial"/>
          <w:color w:val="000000" w:themeColor="text1"/>
          <w:highlight w:val="yellow"/>
        </w:rPr>
        <w:fldChar w:fldCharType="begin"/>
      </w:r>
      <w:r w:rsidRPr="00CC1139">
        <w:rPr>
          <w:rFonts w:cs="Arial"/>
          <w:color w:val="000000" w:themeColor="text1"/>
          <w:highlight w:val="yellow"/>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CC1139">
        <w:rPr>
          <w:rFonts w:cs="Arial"/>
          <w:color w:val="000000" w:themeColor="text1"/>
          <w:highlight w:val="yellow"/>
        </w:rPr>
        <w:fldChar w:fldCharType="separate"/>
      </w:r>
      <w:r w:rsidRPr="00CC1139">
        <w:rPr>
          <w:rFonts w:cs="Arial"/>
          <w:noProof/>
          <w:color w:val="000000" w:themeColor="text1"/>
          <w:highlight w:val="yellow"/>
        </w:rPr>
        <w:t xml:space="preserve">(Gibson </w:t>
      </w:r>
      <w:r w:rsidRPr="00CC1139">
        <w:rPr>
          <w:rFonts w:cs="Arial"/>
          <w:i/>
          <w:noProof/>
          <w:color w:val="000000" w:themeColor="text1"/>
          <w:highlight w:val="yellow"/>
        </w:rPr>
        <w:t>et al</w:t>
      </w:r>
      <w:r w:rsidRPr="00CC1139">
        <w:rPr>
          <w:rFonts w:cs="Arial"/>
          <w:noProof/>
          <w:color w:val="000000" w:themeColor="text1"/>
          <w:highlight w:val="yellow"/>
        </w:rPr>
        <w:t>., 2006; Reigeluth, 1996)</w:t>
      </w:r>
      <w:r w:rsidRPr="00CC1139">
        <w:rPr>
          <w:rFonts w:cs="Arial"/>
          <w:color w:val="000000" w:themeColor="text1"/>
          <w:highlight w:val="yellow"/>
        </w:rPr>
        <w:fldChar w:fldCharType="end"/>
      </w:r>
      <w:r w:rsidRPr="00CC1139">
        <w:rPr>
          <w:rFonts w:cs="Arial"/>
          <w:color w:val="000000" w:themeColor="text1"/>
          <w:highlight w:val="yellow"/>
        </w:rPr>
        <w:t xml:space="preserve">. The most notable changes from the aforementioned paradigm shifts are that from conformity and compliance to initiative and diversity where greater value is placed on each individual’s strength and contribution to a project or organisation rather than each individual having the same skill set </w:t>
      </w:r>
      <w:r w:rsidRPr="00CC1139">
        <w:rPr>
          <w:rFonts w:cs="Arial"/>
          <w:color w:val="000000" w:themeColor="text1"/>
          <w:highlight w:val="yellow"/>
        </w:rPr>
        <w:fldChar w:fldCharType="begin"/>
      </w:r>
      <w:r w:rsidRPr="00CC1139">
        <w:rPr>
          <w:rFonts w:cs="Arial"/>
          <w:color w:val="000000" w:themeColor="text1"/>
          <w:highlight w:val="yellow"/>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CC1139">
        <w:rPr>
          <w:rFonts w:cs="Arial"/>
          <w:color w:val="000000" w:themeColor="text1"/>
          <w:highlight w:val="yellow"/>
        </w:rPr>
        <w:fldChar w:fldCharType="separate"/>
      </w:r>
      <w:r w:rsidRPr="00CC1139">
        <w:rPr>
          <w:rFonts w:cs="Arial"/>
          <w:noProof/>
          <w:color w:val="000000" w:themeColor="text1"/>
          <w:highlight w:val="yellow"/>
        </w:rPr>
        <w:t>(Reigeluth, 1996)</w:t>
      </w:r>
      <w:r w:rsidRPr="00CC1139">
        <w:rPr>
          <w:rFonts w:cs="Arial"/>
          <w:color w:val="000000" w:themeColor="text1"/>
          <w:highlight w:val="yellow"/>
        </w:rPr>
        <w:fldChar w:fldCharType="end"/>
      </w:r>
      <w:r w:rsidRPr="00CC1139">
        <w:rPr>
          <w:rFonts w:cs="Arial"/>
          <w:color w:val="000000" w:themeColor="text1"/>
          <w:highlight w:val="yellow"/>
        </w:rPr>
        <w:t>.</w:t>
      </w:r>
      <w:r w:rsidRPr="005F73C6">
        <w:rPr>
          <w:rFonts w:cs="Arial"/>
          <w:color w:val="000000" w:themeColor="text1"/>
        </w:rPr>
        <w:t xml:space="preserve">  A few other differences between the </w:t>
      </w:r>
      <w:r>
        <w:rPr>
          <w:rFonts w:cs="Arial"/>
          <w:color w:val="000000" w:themeColor="text1"/>
        </w:rPr>
        <w:t xml:space="preserve">needs of organisations during the </w:t>
      </w:r>
      <w:r w:rsidRPr="005F73C6">
        <w:rPr>
          <w:rFonts w:cs="Arial"/>
          <w:color w:val="000000" w:themeColor="text1"/>
        </w:rPr>
        <w:t xml:space="preserve">industrial age and </w:t>
      </w:r>
      <w:r>
        <w:rPr>
          <w:rFonts w:cs="Arial"/>
          <w:color w:val="000000" w:themeColor="text1"/>
        </w:rPr>
        <w:t xml:space="preserve">the new requirements brought with the </w:t>
      </w:r>
      <w:r w:rsidRPr="005F73C6">
        <w:rPr>
          <w:rFonts w:cs="Arial"/>
          <w:color w:val="000000" w:themeColor="text1"/>
        </w:rPr>
        <w:t>information age are depicted in the above table.</w:t>
      </w:r>
    </w:p>
    <w:p w:rsidR="00CC1139" w:rsidRDefault="00CC1139" w:rsidP="00CC1139">
      <w:pPr>
        <w:spacing w:after="0"/>
        <w:rPr>
          <w:rFonts w:cs="Arial"/>
          <w:color w:val="000000" w:themeColor="text1"/>
        </w:rPr>
      </w:pPr>
    </w:p>
    <w:p w:rsidR="00CC1139" w:rsidRDefault="00CC1139" w:rsidP="00CC1139">
      <w:pPr>
        <w:spacing w:after="0"/>
        <w:rPr>
          <w:rFonts w:cs="Arial"/>
          <w:color w:val="000000" w:themeColor="text1"/>
        </w:rPr>
      </w:pPr>
      <w:proofErr w:type="spellStart"/>
      <w:r w:rsidRPr="005F73C6">
        <w:rPr>
          <w:rFonts w:cs="Arial"/>
          <w:color w:val="000000" w:themeColor="text1"/>
        </w:rPr>
        <w:t>Reigeluth</w:t>
      </w:r>
      <w:proofErr w:type="spellEnd"/>
      <w:r w:rsidRPr="005F73C6">
        <w:rPr>
          <w:rFonts w:cs="Arial"/>
          <w:color w:val="000000" w:themeColor="text1"/>
        </w:rPr>
        <w:t xml:space="preserve"> (1996) continues and states that the current paradigm is not focused on learning but rather categorisation. </w:t>
      </w:r>
      <w:proofErr w:type="spellStart"/>
      <w:r>
        <w:rPr>
          <w:rFonts w:cs="Arial"/>
          <w:color w:val="000000" w:themeColor="text1"/>
        </w:rPr>
        <w:t>Ackoff</w:t>
      </w:r>
      <w:proofErr w:type="spellEnd"/>
      <w:r>
        <w:rPr>
          <w:rFonts w:cs="Arial"/>
          <w:color w:val="000000" w:themeColor="text1"/>
        </w:rPr>
        <w:t xml:space="preserve"> (1991) holds a similar viewpoint stating that there is more of a focus on teaching rather than learning. It should be noted</w:t>
      </w:r>
      <w:r w:rsidRPr="005F73C6">
        <w:rPr>
          <w:rFonts w:cs="Arial"/>
          <w:color w:val="000000" w:themeColor="text1"/>
        </w:rPr>
        <w:t xml:space="preserve"> that teaching and learning are very distinct from one another as both can take place without the </w:t>
      </w:r>
      <w:r>
        <w:rPr>
          <w:rFonts w:cs="Arial"/>
          <w:color w:val="000000" w:themeColor="text1"/>
        </w:rPr>
        <w:t xml:space="preserve">other </w:t>
      </w:r>
      <w:r>
        <w:rPr>
          <w:rFonts w:cs="Arial"/>
          <w:color w:val="000000" w:themeColor="text1"/>
        </w:rPr>
        <w:fldChar w:fldCharType="begin"/>
      </w:r>
      <w:r>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Pr>
          <w:rFonts w:cs="Arial"/>
          <w:color w:val="000000" w:themeColor="text1"/>
        </w:rPr>
        <w:fldChar w:fldCharType="separate"/>
      </w:r>
      <w:r>
        <w:rPr>
          <w:rFonts w:cs="Arial"/>
          <w:noProof/>
          <w:color w:val="000000" w:themeColor="text1"/>
        </w:rPr>
        <w:t>(Ackoff, 1991)</w:t>
      </w:r>
      <w:r>
        <w:rPr>
          <w:rFonts w:cs="Arial"/>
          <w:color w:val="000000" w:themeColor="text1"/>
        </w:rPr>
        <w:fldChar w:fldCharType="end"/>
      </w:r>
      <w:r>
        <w:rPr>
          <w:rFonts w:cs="Arial"/>
          <w:color w:val="000000" w:themeColor="text1"/>
        </w:rPr>
        <w:t xml:space="preserve">. </w:t>
      </w:r>
      <w:r w:rsidRPr="005F73C6">
        <w:rPr>
          <w:rFonts w:cs="Arial"/>
          <w:color w:val="000000" w:themeColor="text1"/>
        </w:rPr>
        <w:t>Learning is defined as increasing one’s ability to perform an act effectively while trying</w:t>
      </w:r>
      <w:r>
        <w:rPr>
          <w:rFonts w:cs="Arial"/>
          <w:color w:val="000000" w:themeColor="text1"/>
        </w:rPr>
        <w:t xml:space="preserve"> to</w:t>
      </w:r>
      <w:r w:rsidRPr="005F73C6">
        <w:rPr>
          <w:rFonts w:cs="Arial"/>
          <w:color w:val="000000" w:themeColor="text1"/>
        </w:rPr>
        <w:t xml:space="preserve"> meet an objective through acquiring new knowledge</w:t>
      </w:r>
      <w:r>
        <w:rPr>
          <w:rFonts w:cs="Arial"/>
          <w:color w:val="000000" w:themeColor="text1"/>
        </w:rPr>
        <w:t xml:space="preserve"> whereas teaching is the process of providing this knowledge</w:t>
      </w:r>
      <w:r w:rsidRPr="005F73C6">
        <w:rPr>
          <w:rFonts w:cs="Arial"/>
          <w:color w:val="000000" w:themeColor="text1"/>
        </w:rPr>
        <w:t xml:space="preserve"> </w:t>
      </w:r>
      <w:r w:rsidRPr="005F73C6">
        <w:rPr>
          <w:rFonts w:cs="Arial"/>
          <w:color w:val="000000" w:themeColor="text1"/>
        </w:rPr>
        <w:fldChar w:fldCharType="begin"/>
      </w:r>
      <w:r>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Pr>
          <w:rFonts w:cs="Arial"/>
          <w:noProof/>
          <w:color w:val="000000" w:themeColor="text1"/>
        </w:rPr>
        <w:t>(Ackoff, 1991)</w:t>
      </w:r>
      <w:r w:rsidRPr="005F73C6">
        <w:rPr>
          <w:rFonts w:cs="Arial"/>
          <w:color w:val="000000" w:themeColor="text1"/>
        </w:rPr>
        <w:fldChar w:fldCharType="end"/>
      </w:r>
      <w:r w:rsidRPr="005F73C6">
        <w:rPr>
          <w:rFonts w:cs="Arial"/>
          <w:color w:val="000000" w:themeColor="text1"/>
        </w:rPr>
        <w:t xml:space="preserve">. </w:t>
      </w:r>
      <w:r>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Pr>
          <w:rFonts w:cs="Arial"/>
          <w:color w:val="000000" w:themeColor="text1"/>
        </w:rPr>
        <w:t xml:space="preserve">at they do not fully comprehend </w:t>
      </w:r>
      <w:r w:rsidRPr="005F73C6">
        <w:rPr>
          <w:rFonts w:cs="Arial"/>
          <w:color w:val="000000" w:themeColor="text1"/>
        </w:rPr>
        <w:fldChar w:fldCharType="begin"/>
      </w:r>
      <w:r>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Pr>
          <w:rFonts w:cs="Arial"/>
          <w:noProof/>
          <w:color w:val="000000" w:themeColor="text1"/>
        </w:rPr>
        <w:t>(Ackoff, 1991)</w:t>
      </w:r>
      <w:r w:rsidRPr="005F73C6">
        <w:rPr>
          <w:rFonts w:cs="Arial"/>
          <w:color w:val="000000" w:themeColor="text1"/>
        </w:rPr>
        <w:fldChar w:fldCharType="end"/>
      </w:r>
      <w:r>
        <w:rPr>
          <w:rFonts w:cs="Arial"/>
          <w:color w:val="000000" w:themeColor="text1"/>
        </w:rPr>
        <w:t xml:space="preserve">. </w:t>
      </w:r>
    </w:p>
    <w:p w:rsidR="00CC1139" w:rsidRDefault="00CC1139" w:rsidP="00CC1139">
      <w:pPr>
        <w:spacing w:after="0"/>
        <w:rPr>
          <w:rFonts w:cs="Arial"/>
          <w:color w:val="000000" w:themeColor="text1"/>
        </w:rPr>
      </w:pPr>
    </w:p>
    <w:p w:rsidR="00CC1139" w:rsidRPr="005F73C6" w:rsidRDefault="00CC1139" w:rsidP="00CC1139">
      <w:pPr>
        <w:spacing w:after="0"/>
        <w:rPr>
          <w:rFonts w:cs="Arial"/>
          <w:color w:val="000000" w:themeColor="text1"/>
        </w:rPr>
      </w:pPr>
      <w:r>
        <w:rPr>
          <w:rFonts w:cs="Arial"/>
          <w:color w:val="000000" w:themeColor="text1"/>
        </w:rPr>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w:t>
      </w:r>
    </w:p>
    <w:p w:rsidR="00CC1139" w:rsidRDefault="00CC1139">
      <w:pPr>
        <w:keepLines w:val="0"/>
      </w:pPr>
      <w:r>
        <w:br w:type="page"/>
      </w:r>
    </w:p>
    <w:p w:rsidR="00CC1139" w:rsidRDefault="00CC1139">
      <w:r>
        <w:lastRenderedPageBreak/>
        <w:t>Pedagogy/Learning theory helpful to this</w:t>
      </w:r>
    </w:p>
    <w:p w:rsidR="00CC1139" w:rsidRDefault="00CC1139">
      <w:bookmarkStart w:id="0" w:name="_GoBack"/>
      <w:bookmarkEnd w:id="0"/>
    </w:p>
    <w:sectPr w:rsidR="00CC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4"/>
    <w:rsid w:val="00286634"/>
    <w:rsid w:val="00423962"/>
    <w:rsid w:val="00741C97"/>
    <w:rsid w:val="007827E2"/>
    <w:rsid w:val="00AC5B14"/>
    <w:rsid w:val="00CC11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1B74"/>
  <w15:chartTrackingRefBased/>
  <w15:docId w15:val="{5765E6DF-D642-489B-B586-7DA947BC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7E2"/>
    <w:pPr>
      <w:keep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7</cp:revision>
  <dcterms:created xsi:type="dcterms:W3CDTF">2021-10-25T17:46:00Z</dcterms:created>
  <dcterms:modified xsi:type="dcterms:W3CDTF">2021-10-25T20:54:00Z</dcterms:modified>
</cp:coreProperties>
</file>