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5DEB3" w14:textId="58E77803" w:rsidR="0011582F" w:rsidRDefault="0011582F" w:rsidP="0011582F">
      <w:pPr>
        <w:snapToGrid w:val="0"/>
        <w:spacing w:before="0" w:after="0" w:line="240" w:lineRule="auto"/>
      </w:pPr>
      <w:bookmarkStart w:id="0" w:name="_Ref173070380"/>
      <w:bookmarkStart w:id="1" w:name="_Toc188383167"/>
      <w:r>
        <w:rPr>
          <w:rFonts w:hint="eastAsia"/>
        </w:rPr>
        <w:t>第一年區域中心期中報告：</w:t>
      </w:r>
      <w:r>
        <w:rPr>
          <w:rFonts w:hint="eastAsia"/>
        </w:rPr>
        <w:t xml:space="preserve">113.6-113.12 </w:t>
      </w:r>
      <w:r>
        <w:rPr>
          <w:rFonts w:hint="eastAsia"/>
        </w:rPr>
        <w:t>區域內</w:t>
      </w:r>
      <w:r>
        <w:rPr>
          <w:rFonts w:hint="eastAsia"/>
        </w:rPr>
        <w:t>TPASS</w:t>
      </w:r>
      <w:r>
        <w:rPr>
          <w:rFonts w:hint="eastAsia"/>
        </w:rPr>
        <w:t>資料分析成果</w:t>
      </w:r>
    </w:p>
    <w:p w14:paraId="38A17BB8" w14:textId="219F7044" w:rsidR="0011582F" w:rsidRDefault="0011582F" w:rsidP="0011582F">
      <w:pPr>
        <w:snapToGrid w:val="0"/>
        <w:spacing w:before="0" w:after="0" w:line="240" w:lineRule="auto"/>
      </w:pPr>
      <w:r>
        <w:rPr>
          <w:rFonts w:hint="eastAsia"/>
        </w:rPr>
        <w:t>第一年區域中心期末報告：</w:t>
      </w:r>
      <w:r>
        <w:rPr>
          <w:rFonts w:hint="eastAsia"/>
        </w:rPr>
        <w:t xml:space="preserve">113.6-114.6 </w:t>
      </w:r>
      <w:r>
        <w:rPr>
          <w:rFonts w:hint="eastAsia"/>
        </w:rPr>
        <w:t>區域內</w:t>
      </w:r>
      <w:r>
        <w:rPr>
          <w:rFonts w:hint="eastAsia"/>
        </w:rPr>
        <w:t>TPASS</w:t>
      </w:r>
      <w:r>
        <w:rPr>
          <w:rFonts w:hint="eastAsia"/>
        </w:rPr>
        <w:t>資料分析成果</w:t>
      </w:r>
    </w:p>
    <w:p w14:paraId="14E180E2" w14:textId="5DD87075" w:rsidR="0011582F" w:rsidRDefault="0011582F" w:rsidP="0011582F">
      <w:pPr>
        <w:snapToGrid w:val="0"/>
        <w:spacing w:before="0" w:after="0" w:line="240" w:lineRule="auto"/>
      </w:pPr>
      <w:r>
        <w:rPr>
          <w:rFonts w:hint="eastAsia"/>
        </w:rPr>
        <w:t>第</w:t>
      </w:r>
      <w:r w:rsidR="009F48A5">
        <w:rPr>
          <w:rFonts w:hint="eastAsia"/>
        </w:rPr>
        <w:t>二</w:t>
      </w:r>
      <w:r>
        <w:rPr>
          <w:rFonts w:hint="eastAsia"/>
        </w:rPr>
        <w:t>年區域中心期中報告：</w:t>
      </w:r>
      <w:r>
        <w:rPr>
          <w:rFonts w:hint="eastAsia"/>
        </w:rPr>
        <w:t xml:space="preserve">113.6-114.12 </w:t>
      </w:r>
      <w:r>
        <w:rPr>
          <w:rFonts w:hint="eastAsia"/>
        </w:rPr>
        <w:t>區域內</w:t>
      </w:r>
      <w:r>
        <w:rPr>
          <w:rFonts w:hint="eastAsia"/>
        </w:rPr>
        <w:t>TPASS</w:t>
      </w:r>
      <w:r>
        <w:rPr>
          <w:rFonts w:hint="eastAsia"/>
        </w:rPr>
        <w:t>資料分析成果</w:t>
      </w:r>
    </w:p>
    <w:p w14:paraId="1B593C50" w14:textId="0C39B6ED" w:rsidR="0011582F" w:rsidRPr="0011582F" w:rsidRDefault="0011582F" w:rsidP="0011582F">
      <w:pPr>
        <w:snapToGrid w:val="0"/>
        <w:spacing w:before="0" w:after="0" w:line="240" w:lineRule="auto"/>
      </w:pPr>
      <w:r>
        <w:rPr>
          <w:rFonts w:hint="eastAsia"/>
        </w:rPr>
        <w:t>第</w:t>
      </w:r>
      <w:r w:rsidR="009F48A5">
        <w:rPr>
          <w:rFonts w:hint="eastAsia"/>
        </w:rPr>
        <w:t>二</w:t>
      </w:r>
      <w:r>
        <w:rPr>
          <w:rFonts w:hint="eastAsia"/>
        </w:rPr>
        <w:t>年區域中心期末報告：</w:t>
      </w:r>
      <w:r>
        <w:rPr>
          <w:rFonts w:hint="eastAsia"/>
        </w:rPr>
        <w:t xml:space="preserve">113.6-115.6 </w:t>
      </w:r>
      <w:r>
        <w:rPr>
          <w:rFonts w:hint="eastAsia"/>
        </w:rPr>
        <w:t>區域內</w:t>
      </w:r>
      <w:r>
        <w:rPr>
          <w:rFonts w:hint="eastAsia"/>
        </w:rPr>
        <w:t>TPASS</w:t>
      </w:r>
      <w:r>
        <w:rPr>
          <w:rFonts w:hint="eastAsia"/>
        </w:rPr>
        <w:t>資料分析成果</w:t>
      </w:r>
    </w:p>
    <w:bookmarkEnd w:id="0"/>
    <w:p w14:paraId="21891940" w14:textId="637E14A0" w:rsidR="00245229" w:rsidRPr="00025A8A" w:rsidRDefault="00245229" w:rsidP="00682481">
      <w:pPr>
        <w:pStyle w:val="a7"/>
        <w:spacing w:before="180" w:after="180"/>
        <w:rPr>
          <w:color w:val="000000" w:themeColor="text1"/>
        </w:rPr>
      </w:pPr>
      <w:r w:rsidRPr="00025A8A">
        <w:rPr>
          <w:rFonts w:hint="eastAsia"/>
          <w:color w:val="000000" w:themeColor="text1"/>
        </w:rPr>
        <w:t>使用行為觀察指標定義及資料來源說明</w:t>
      </w:r>
      <w:bookmarkEnd w:id="1"/>
    </w:p>
    <w:tbl>
      <w:tblPr>
        <w:tblStyle w:val="a9"/>
        <w:tblW w:w="4589" w:type="pct"/>
        <w:jc w:val="center"/>
        <w:tblLook w:val="04A0" w:firstRow="1" w:lastRow="0" w:firstColumn="1" w:lastColumn="0" w:noHBand="0" w:noVBand="1"/>
      </w:tblPr>
      <w:tblGrid>
        <w:gridCol w:w="780"/>
        <w:gridCol w:w="1424"/>
        <w:gridCol w:w="3743"/>
        <w:gridCol w:w="2268"/>
        <w:gridCol w:w="500"/>
        <w:gridCol w:w="2251"/>
        <w:gridCol w:w="1539"/>
        <w:gridCol w:w="1618"/>
      </w:tblGrid>
      <w:tr w:rsidR="0011582F" w:rsidRPr="00025A8A" w14:paraId="0A609554" w14:textId="77777777" w:rsidTr="0011582F">
        <w:trPr>
          <w:tblHeader/>
          <w:jc w:val="center"/>
        </w:trPr>
        <w:tc>
          <w:tcPr>
            <w:tcW w:w="276" w:type="pct"/>
            <w:shd w:val="clear" w:color="auto" w:fill="FBE4D5" w:themeFill="accent2" w:themeFillTint="33"/>
            <w:vAlign w:val="center"/>
          </w:tcPr>
          <w:p w14:paraId="239A7562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指標類型</w:t>
            </w:r>
          </w:p>
        </w:tc>
        <w:tc>
          <w:tcPr>
            <w:tcW w:w="504" w:type="pct"/>
            <w:shd w:val="clear" w:color="auto" w:fill="FBE4D5" w:themeFill="accent2" w:themeFillTint="33"/>
            <w:vAlign w:val="center"/>
          </w:tcPr>
          <w:p w14:paraId="7795EEDD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指標項目</w:t>
            </w:r>
          </w:p>
        </w:tc>
        <w:tc>
          <w:tcPr>
            <w:tcW w:w="1325" w:type="pct"/>
            <w:shd w:val="clear" w:color="auto" w:fill="FBE4D5" w:themeFill="accent2" w:themeFillTint="33"/>
            <w:vAlign w:val="center"/>
          </w:tcPr>
          <w:p w14:paraId="4DF99250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操作型定義</w:t>
            </w:r>
          </w:p>
        </w:tc>
        <w:tc>
          <w:tcPr>
            <w:tcW w:w="803" w:type="pct"/>
            <w:shd w:val="clear" w:color="auto" w:fill="FBE4D5" w:themeFill="accent2" w:themeFillTint="33"/>
            <w:vAlign w:val="center"/>
          </w:tcPr>
          <w:p w14:paraId="7A6EF4FB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說明</w:t>
            </w:r>
          </w:p>
        </w:tc>
        <w:tc>
          <w:tcPr>
            <w:tcW w:w="177" w:type="pct"/>
            <w:shd w:val="clear" w:color="auto" w:fill="FBE4D5" w:themeFill="accent2" w:themeFillTint="33"/>
            <w:vAlign w:val="center"/>
          </w:tcPr>
          <w:p w14:paraId="0DB92CEF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單位</w:t>
            </w:r>
          </w:p>
        </w:tc>
        <w:tc>
          <w:tcPr>
            <w:tcW w:w="797" w:type="pct"/>
            <w:shd w:val="clear" w:color="auto" w:fill="FBE4D5" w:themeFill="accent2" w:themeFillTint="33"/>
            <w:vAlign w:val="center"/>
          </w:tcPr>
          <w:p w14:paraId="13FD8818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所需蒐集資料項目</w:t>
            </w:r>
          </w:p>
        </w:tc>
        <w:tc>
          <w:tcPr>
            <w:tcW w:w="545" w:type="pct"/>
            <w:shd w:val="clear" w:color="auto" w:fill="FBE4D5" w:themeFill="accent2" w:themeFillTint="33"/>
            <w:vAlign w:val="center"/>
          </w:tcPr>
          <w:p w14:paraId="005ACE33" w14:textId="0FF375E5" w:rsidR="0011582F" w:rsidRPr="00025A8A" w:rsidRDefault="0011582F" w:rsidP="00682481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資料來源</w:t>
            </w:r>
          </w:p>
        </w:tc>
        <w:tc>
          <w:tcPr>
            <w:tcW w:w="573" w:type="pct"/>
            <w:shd w:val="clear" w:color="auto" w:fill="FBE4D5" w:themeFill="accent2" w:themeFillTint="33"/>
            <w:vAlign w:val="center"/>
          </w:tcPr>
          <w:p w14:paraId="36A526F6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區分指標產製單位</w:t>
            </w:r>
            <w:r w:rsidRPr="00025A8A">
              <w:rPr>
                <w:b/>
              </w:rPr>
              <w:t>/</w:t>
            </w:r>
            <w:r w:rsidRPr="00025A8A">
              <w:rPr>
                <w:b/>
              </w:rPr>
              <w:t>計畫</w:t>
            </w:r>
          </w:p>
        </w:tc>
      </w:tr>
      <w:tr w:rsidR="0011582F" w:rsidRPr="00025A8A" w14:paraId="07D53398" w14:textId="77777777" w:rsidTr="0011582F">
        <w:trPr>
          <w:jc w:val="center"/>
        </w:trPr>
        <w:tc>
          <w:tcPr>
            <w:tcW w:w="276" w:type="pct"/>
            <w:vMerge w:val="restart"/>
            <w:vAlign w:val="center"/>
          </w:tcPr>
          <w:p w14:paraId="364D5DCE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使用者行為變化</w:t>
            </w:r>
          </w:p>
        </w:tc>
        <w:tc>
          <w:tcPr>
            <w:tcW w:w="504" w:type="pct"/>
            <w:vAlign w:val="center"/>
          </w:tcPr>
          <w:p w14:paraId="51147AB5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proofErr w:type="gramStart"/>
            <w:r w:rsidRPr="00025A8A">
              <w:t>各運具</w:t>
            </w:r>
            <w:proofErr w:type="gramEnd"/>
            <w:r w:rsidRPr="00025A8A">
              <w:t>月票使用比例</w:t>
            </w:r>
          </w:p>
        </w:tc>
        <w:tc>
          <w:tcPr>
            <w:tcW w:w="1325" w:type="pct"/>
            <w:vAlign w:val="center"/>
          </w:tcPr>
          <w:p w14:paraId="19B4478D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proofErr w:type="gramStart"/>
            <w:r w:rsidRPr="00025A8A">
              <w:t>某運具</w:t>
            </w:r>
            <w:proofErr w:type="gramEnd"/>
            <w:r w:rsidRPr="00025A8A">
              <w:t>使用月票比例</w:t>
            </w:r>
            <w:r w:rsidRPr="00025A8A">
              <w:t>=</w:t>
            </w:r>
            <w:proofErr w:type="gramStart"/>
            <w:r w:rsidRPr="00025A8A">
              <w:t>某運</w:t>
            </w:r>
            <w:proofErr w:type="gramEnd"/>
            <w:r w:rsidRPr="00025A8A">
              <w:t>具使用月票次數</w:t>
            </w:r>
            <w:r w:rsidRPr="00025A8A">
              <w:t>/</w:t>
            </w:r>
            <w:proofErr w:type="gramStart"/>
            <w:r w:rsidRPr="00025A8A">
              <w:t>某運</w:t>
            </w:r>
            <w:proofErr w:type="gramEnd"/>
            <w:r w:rsidRPr="00025A8A">
              <w:t>具載客人數</w:t>
            </w:r>
          </w:p>
        </w:tc>
        <w:tc>
          <w:tcPr>
            <w:tcW w:w="803" w:type="pct"/>
            <w:vAlign w:val="center"/>
          </w:tcPr>
          <w:p w14:paraId="34299EE0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proofErr w:type="gramStart"/>
            <w:r w:rsidRPr="00025A8A">
              <w:t>各運具</w:t>
            </w:r>
            <w:proofErr w:type="gramEnd"/>
            <w:r w:rsidRPr="00025A8A">
              <w:t>使用</w:t>
            </w:r>
            <w:r w:rsidRPr="00025A8A">
              <w:t>TPASS</w:t>
            </w:r>
            <w:r w:rsidRPr="00025A8A">
              <w:t>之比例</w:t>
            </w:r>
          </w:p>
        </w:tc>
        <w:tc>
          <w:tcPr>
            <w:tcW w:w="177" w:type="pct"/>
            <w:vAlign w:val="center"/>
          </w:tcPr>
          <w:p w14:paraId="3BC0C91F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%</w:t>
            </w:r>
          </w:p>
        </w:tc>
        <w:tc>
          <w:tcPr>
            <w:tcW w:w="797" w:type="pct"/>
            <w:vAlign w:val="center"/>
          </w:tcPr>
          <w:p w14:paraId="6DF08A9E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jc w:val="left"/>
            </w:pPr>
            <w:r w:rsidRPr="00025A8A">
              <w:t>1.</w:t>
            </w:r>
            <w:proofErr w:type="gramStart"/>
            <w:r w:rsidRPr="00025A8A">
              <w:t>各運具</w:t>
            </w:r>
            <w:proofErr w:type="gramEnd"/>
            <w:r w:rsidRPr="00025A8A">
              <w:t>TPASS</w:t>
            </w:r>
            <w:r w:rsidRPr="00025A8A">
              <w:t>使用次數</w:t>
            </w:r>
          </w:p>
          <w:p w14:paraId="4002BFDE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jc w:val="left"/>
            </w:pPr>
            <w:r w:rsidRPr="00025A8A">
              <w:t>2.</w:t>
            </w:r>
            <w:proofErr w:type="gramStart"/>
            <w:r w:rsidRPr="00025A8A">
              <w:t>各運具</w:t>
            </w:r>
            <w:proofErr w:type="gramEnd"/>
            <w:r w:rsidRPr="00025A8A">
              <w:t>載客人數</w:t>
            </w:r>
          </w:p>
        </w:tc>
        <w:tc>
          <w:tcPr>
            <w:tcW w:w="545" w:type="pct"/>
            <w:shd w:val="clear" w:color="auto" w:fill="auto"/>
            <w:vAlign w:val="center"/>
          </w:tcPr>
          <w:p w14:paraId="1B74419F" w14:textId="3BD0EB92" w:rsidR="0011582F" w:rsidRPr="00025A8A" w:rsidRDefault="0011582F" w:rsidP="0011582F">
            <w:pPr>
              <w:pStyle w:val="aa"/>
              <w:snapToGrid w:val="0"/>
              <w:spacing w:line="240" w:lineRule="auto"/>
            </w:pPr>
            <w:r w:rsidRPr="00025A8A">
              <w:rPr>
                <w:rFonts w:hint="eastAsia"/>
              </w:rPr>
              <w:t>電子票證</w:t>
            </w:r>
            <w:r w:rsidRPr="00025A8A">
              <w:t>資料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560638EB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分縣市、分運具</w:t>
            </w:r>
          </w:p>
        </w:tc>
      </w:tr>
      <w:tr w:rsidR="0011582F" w:rsidRPr="00025A8A" w14:paraId="2E69EF96" w14:textId="77777777" w:rsidTr="0011582F">
        <w:trPr>
          <w:jc w:val="center"/>
        </w:trPr>
        <w:tc>
          <w:tcPr>
            <w:tcW w:w="276" w:type="pct"/>
            <w:vMerge/>
          </w:tcPr>
          <w:p w14:paraId="192910C2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</w:p>
        </w:tc>
        <w:tc>
          <w:tcPr>
            <w:tcW w:w="504" w:type="pct"/>
            <w:vAlign w:val="center"/>
          </w:tcPr>
          <w:p w14:paraId="5774A157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proofErr w:type="gramStart"/>
            <w:r w:rsidRPr="00025A8A">
              <w:t>各運具</w:t>
            </w:r>
            <w:proofErr w:type="gramEnd"/>
            <w:r w:rsidRPr="00025A8A">
              <w:t>平均搭乘里程</w:t>
            </w:r>
          </w:p>
        </w:tc>
        <w:tc>
          <w:tcPr>
            <w:tcW w:w="1325" w:type="pct"/>
            <w:vAlign w:val="center"/>
          </w:tcPr>
          <w:p w14:paraId="305E6FA8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proofErr w:type="gramStart"/>
            <w:r w:rsidRPr="00025A8A">
              <w:t>某運具</w:t>
            </w:r>
            <w:proofErr w:type="gramEnd"/>
            <w:r w:rsidRPr="00025A8A">
              <w:t>平均搭乘里程</w:t>
            </w:r>
            <w:r w:rsidRPr="00025A8A">
              <w:t>=</w:t>
            </w:r>
            <w:proofErr w:type="gramStart"/>
            <w:r w:rsidRPr="00025A8A">
              <w:t>某運具總延</w:t>
            </w:r>
            <w:proofErr w:type="gramEnd"/>
            <w:r w:rsidRPr="00025A8A">
              <w:t>人公里</w:t>
            </w:r>
            <w:r w:rsidRPr="00025A8A">
              <w:t>/</w:t>
            </w:r>
            <w:proofErr w:type="gramStart"/>
            <w:r w:rsidRPr="00025A8A">
              <w:t>某運</w:t>
            </w:r>
            <w:proofErr w:type="gramEnd"/>
            <w:r w:rsidRPr="00025A8A">
              <w:t>具載客人數</w:t>
            </w:r>
          </w:p>
        </w:tc>
        <w:tc>
          <w:tcPr>
            <w:tcW w:w="803" w:type="pct"/>
            <w:vAlign w:val="center"/>
          </w:tcPr>
          <w:p w14:paraId="31EE4CD5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proofErr w:type="gramStart"/>
            <w:r w:rsidRPr="00025A8A">
              <w:t>各運具</w:t>
            </w:r>
            <w:proofErr w:type="gramEnd"/>
            <w:r w:rsidRPr="00025A8A">
              <w:t>平均搭乘長度是否會因月票實施而變化</w:t>
            </w:r>
          </w:p>
        </w:tc>
        <w:tc>
          <w:tcPr>
            <w:tcW w:w="177" w:type="pct"/>
            <w:vAlign w:val="center"/>
          </w:tcPr>
          <w:p w14:paraId="1E066830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%</w:t>
            </w:r>
          </w:p>
        </w:tc>
        <w:tc>
          <w:tcPr>
            <w:tcW w:w="797" w:type="pct"/>
            <w:vAlign w:val="center"/>
          </w:tcPr>
          <w:p w14:paraId="76D7C6FC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jc w:val="left"/>
            </w:pPr>
            <w:r w:rsidRPr="00025A8A">
              <w:t>1.</w:t>
            </w:r>
            <w:proofErr w:type="gramStart"/>
            <w:r w:rsidRPr="00025A8A">
              <w:t>各運具延人</w:t>
            </w:r>
            <w:proofErr w:type="gramEnd"/>
            <w:r w:rsidRPr="00025A8A">
              <w:t>公里</w:t>
            </w:r>
          </w:p>
          <w:p w14:paraId="4EF9B1AC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jc w:val="left"/>
            </w:pPr>
            <w:r w:rsidRPr="00025A8A">
              <w:t>2.</w:t>
            </w:r>
            <w:proofErr w:type="gramStart"/>
            <w:r w:rsidRPr="00025A8A">
              <w:t>各運具</w:t>
            </w:r>
            <w:proofErr w:type="gramEnd"/>
            <w:r w:rsidRPr="00025A8A">
              <w:t>載客人數</w:t>
            </w:r>
          </w:p>
        </w:tc>
        <w:tc>
          <w:tcPr>
            <w:tcW w:w="545" w:type="pct"/>
            <w:shd w:val="clear" w:color="auto" w:fill="auto"/>
            <w:vAlign w:val="center"/>
          </w:tcPr>
          <w:p w14:paraId="201B327A" w14:textId="58EA1408" w:rsidR="0011582F" w:rsidRPr="00025A8A" w:rsidRDefault="0011582F" w:rsidP="0011582F">
            <w:pPr>
              <w:pStyle w:val="aa"/>
              <w:snapToGrid w:val="0"/>
              <w:spacing w:line="240" w:lineRule="auto"/>
            </w:pPr>
            <w:r w:rsidRPr="00025A8A">
              <w:rPr>
                <w:rFonts w:hint="eastAsia"/>
              </w:rPr>
              <w:t>電子票證</w:t>
            </w:r>
            <w:r w:rsidRPr="00025A8A">
              <w:t>資料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4E6C37EE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分縣市、分運具</w:t>
            </w:r>
          </w:p>
        </w:tc>
      </w:tr>
      <w:tr w:rsidR="0011582F" w:rsidRPr="00025A8A" w14:paraId="6043C2D7" w14:textId="77777777" w:rsidTr="0011582F">
        <w:trPr>
          <w:jc w:val="center"/>
        </w:trPr>
        <w:tc>
          <w:tcPr>
            <w:tcW w:w="276" w:type="pct"/>
            <w:vMerge/>
          </w:tcPr>
          <w:p w14:paraId="311929A8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</w:p>
        </w:tc>
        <w:tc>
          <w:tcPr>
            <w:tcW w:w="504" w:type="pct"/>
            <w:vAlign w:val="center"/>
          </w:tcPr>
          <w:p w14:paraId="2D5FD58B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平均每日使用次數</w:t>
            </w:r>
          </w:p>
        </w:tc>
        <w:tc>
          <w:tcPr>
            <w:tcW w:w="1325" w:type="pct"/>
            <w:vAlign w:val="center"/>
          </w:tcPr>
          <w:p w14:paraId="50900239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平均每日使用次數</w:t>
            </w:r>
            <w:r w:rsidRPr="00025A8A">
              <w:t>=</w:t>
            </w:r>
            <w:r w:rsidRPr="00025A8A">
              <w:t>每人每月使用次數</w:t>
            </w:r>
            <w:r w:rsidRPr="00025A8A">
              <w:t>/</w:t>
            </w:r>
            <w:r w:rsidRPr="00025A8A">
              <w:t>該月天數</w:t>
            </w:r>
          </w:p>
        </w:tc>
        <w:tc>
          <w:tcPr>
            <w:tcW w:w="803" w:type="pct"/>
            <w:vAlign w:val="center"/>
          </w:tcPr>
          <w:p w14:paraId="3FB21E8C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平均每日使用次數是否會因月票實施而變化</w:t>
            </w:r>
          </w:p>
        </w:tc>
        <w:tc>
          <w:tcPr>
            <w:tcW w:w="177" w:type="pct"/>
            <w:vAlign w:val="center"/>
          </w:tcPr>
          <w:p w14:paraId="2F4AB288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</w:p>
        </w:tc>
        <w:tc>
          <w:tcPr>
            <w:tcW w:w="797" w:type="pct"/>
            <w:vAlign w:val="center"/>
          </w:tcPr>
          <w:p w14:paraId="5FAFE4CB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jc w:val="left"/>
            </w:pPr>
            <w:r w:rsidRPr="00025A8A">
              <w:t>1.</w:t>
            </w:r>
            <w:r w:rsidRPr="00025A8A">
              <w:t>每人每月使用次數</w:t>
            </w:r>
          </w:p>
          <w:p w14:paraId="79E93455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jc w:val="left"/>
            </w:pPr>
            <w:r w:rsidRPr="00025A8A">
              <w:t>2.</w:t>
            </w:r>
            <w:r w:rsidRPr="00025A8A">
              <w:t>該月天數</w:t>
            </w:r>
          </w:p>
        </w:tc>
        <w:tc>
          <w:tcPr>
            <w:tcW w:w="545" w:type="pct"/>
            <w:shd w:val="clear" w:color="auto" w:fill="auto"/>
            <w:vAlign w:val="center"/>
          </w:tcPr>
          <w:p w14:paraId="72D90CB0" w14:textId="270F6880" w:rsidR="0011582F" w:rsidRPr="00025A8A" w:rsidRDefault="0011582F" w:rsidP="0011582F">
            <w:pPr>
              <w:pStyle w:val="aa"/>
              <w:snapToGrid w:val="0"/>
              <w:spacing w:line="240" w:lineRule="auto"/>
            </w:pPr>
            <w:r w:rsidRPr="00025A8A">
              <w:rPr>
                <w:rFonts w:hint="eastAsia"/>
              </w:rPr>
              <w:t>電子票證</w:t>
            </w:r>
            <w:r w:rsidRPr="00025A8A">
              <w:t>資料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0BC8A3CB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分縣市、分運具</w:t>
            </w:r>
          </w:p>
        </w:tc>
      </w:tr>
      <w:tr w:rsidR="0011582F" w:rsidRPr="00025A8A" w14:paraId="3F09CA23" w14:textId="77777777" w:rsidTr="0011582F">
        <w:trPr>
          <w:trHeight w:val="937"/>
          <w:jc w:val="center"/>
        </w:trPr>
        <w:tc>
          <w:tcPr>
            <w:tcW w:w="276" w:type="pct"/>
            <w:vMerge/>
          </w:tcPr>
          <w:p w14:paraId="22969CBB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</w:p>
        </w:tc>
        <w:tc>
          <w:tcPr>
            <w:tcW w:w="504" w:type="pct"/>
            <w:vAlign w:val="center"/>
          </w:tcPr>
          <w:p w14:paraId="0707779F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平均轉乘次數</w:t>
            </w:r>
          </w:p>
        </w:tc>
        <w:tc>
          <w:tcPr>
            <w:tcW w:w="1325" w:type="pct"/>
            <w:vAlign w:val="center"/>
          </w:tcPr>
          <w:p w14:paraId="4484BF64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平均轉乘次數</w:t>
            </w:r>
            <w:r w:rsidRPr="00025A8A">
              <w:t>=</w:t>
            </w:r>
            <w:r w:rsidRPr="00025A8A">
              <w:t>總</w:t>
            </w:r>
            <w:proofErr w:type="gramStart"/>
            <w:r w:rsidRPr="00025A8A">
              <w:t>轉乘旅次數</w:t>
            </w:r>
            <w:proofErr w:type="gramEnd"/>
            <w:r w:rsidRPr="00025A8A">
              <w:t>/</w:t>
            </w:r>
            <w:proofErr w:type="gramStart"/>
            <w:r w:rsidRPr="00025A8A">
              <w:t>總旅次</w:t>
            </w:r>
            <w:proofErr w:type="gramEnd"/>
            <w:r w:rsidRPr="00025A8A">
              <w:t>數</w:t>
            </w:r>
          </w:p>
        </w:tc>
        <w:tc>
          <w:tcPr>
            <w:tcW w:w="803" w:type="pct"/>
            <w:vAlign w:val="center"/>
          </w:tcPr>
          <w:p w14:paraId="33AF34BF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公共運輸轉乘次數是否會因月票實施而變化</w:t>
            </w:r>
          </w:p>
        </w:tc>
        <w:tc>
          <w:tcPr>
            <w:tcW w:w="177" w:type="pct"/>
            <w:vAlign w:val="center"/>
          </w:tcPr>
          <w:p w14:paraId="63875FEC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次</w:t>
            </w:r>
          </w:p>
        </w:tc>
        <w:tc>
          <w:tcPr>
            <w:tcW w:w="797" w:type="pct"/>
            <w:vAlign w:val="center"/>
          </w:tcPr>
          <w:p w14:paraId="5B77C716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jc w:val="left"/>
            </w:pPr>
            <w:r w:rsidRPr="00025A8A">
              <w:t>1.</w:t>
            </w:r>
            <w:r w:rsidRPr="00025A8A">
              <w:t>轉乘次數</w:t>
            </w:r>
          </w:p>
          <w:p w14:paraId="1D1D757B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jc w:val="left"/>
            </w:pPr>
            <w:r w:rsidRPr="00025A8A">
              <w:t>2.</w:t>
            </w:r>
            <w:proofErr w:type="gramStart"/>
            <w:r w:rsidRPr="00025A8A">
              <w:t>總旅次數</w:t>
            </w:r>
            <w:proofErr w:type="gramEnd"/>
          </w:p>
        </w:tc>
        <w:tc>
          <w:tcPr>
            <w:tcW w:w="545" w:type="pct"/>
            <w:shd w:val="clear" w:color="auto" w:fill="auto"/>
            <w:vAlign w:val="center"/>
          </w:tcPr>
          <w:p w14:paraId="7B380A54" w14:textId="1528B811" w:rsidR="0011582F" w:rsidRPr="00025A8A" w:rsidRDefault="0011582F" w:rsidP="0011582F">
            <w:pPr>
              <w:pStyle w:val="aa"/>
              <w:snapToGrid w:val="0"/>
              <w:spacing w:line="240" w:lineRule="auto"/>
            </w:pPr>
            <w:r w:rsidRPr="00025A8A">
              <w:rPr>
                <w:rFonts w:hint="eastAsia"/>
              </w:rPr>
              <w:t>電子票證</w:t>
            </w:r>
            <w:r w:rsidRPr="00025A8A">
              <w:t>資料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2FF14455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分縣市、分運具</w:t>
            </w:r>
          </w:p>
        </w:tc>
      </w:tr>
      <w:tr w:rsidR="0011582F" w:rsidRPr="00025A8A" w14:paraId="0E995142" w14:textId="77777777" w:rsidTr="0011582F">
        <w:trPr>
          <w:jc w:val="center"/>
        </w:trPr>
        <w:tc>
          <w:tcPr>
            <w:tcW w:w="276" w:type="pct"/>
            <w:vMerge w:val="restart"/>
            <w:vAlign w:val="center"/>
          </w:tcPr>
          <w:p w14:paraId="6C29E89B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公共運輸運量成長</w:t>
            </w:r>
          </w:p>
        </w:tc>
        <w:tc>
          <w:tcPr>
            <w:tcW w:w="504" w:type="pct"/>
            <w:vAlign w:val="center"/>
          </w:tcPr>
          <w:p w14:paraId="1ECD7AA5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proofErr w:type="gramStart"/>
            <w:r w:rsidRPr="00025A8A">
              <w:t>各運具</w:t>
            </w:r>
            <w:proofErr w:type="gramEnd"/>
            <w:r w:rsidRPr="00025A8A">
              <w:t>運量變化率</w:t>
            </w:r>
          </w:p>
        </w:tc>
        <w:tc>
          <w:tcPr>
            <w:tcW w:w="1325" w:type="pct"/>
            <w:vAlign w:val="center"/>
          </w:tcPr>
          <w:p w14:paraId="4BE6DAFE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proofErr w:type="gramStart"/>
            <w:r w:rsidRPr="00025A8A">
              <w:t>某公運</w:t>
            </w:r>
            <w:proofErr w:type="gramEnd"/>
            <w:r w:rsidRPr="00025A8A">
              <w:t>運量變化率</w:t>
            </w:r>
            <w:r w:rsidRPr="00025A8A">
              <w:t>=(</w:t>
            </w:r>
            <w:r w:rsidRPr="00025A8A">
              <w:t>當期某公運運量</w:t>
            </w:r>
            <w:r w:rsidRPr="00025A8A">
              <w:t>-</w:t>
            </w:r>
            <w:r w:rsidRPr="00025A8A">
              <w:t>前期某公運運量</w:t>
            </w:r>
            <w:r w:rsidRPr="00025A8A">
              <w:t>)/</w:t>
            </w:r>
            <w:r w:rsidRPr="00025A8A">
              <w:t>前期</w:t>
            </w:r>
            <w:proofErr w:type="gramStart"/>
            <w:r w:rsidRPr="00025A8A">
              <w:t>某公</w:t>
            </w:r>
            <w:proofErr w:type="gramEnd"/>
            <w:r w:rsidRPr="00025A8A">
              <w:t>運運量</w:t>
            </w:r>
          </w:p>
        </w:tc>
        <w:tc>
          <w:tcPr>
            <w:tcW w:w="803" w:type="pct"/>
            <w:vAlign w:val="center"/>
          </w:tcPr>
          <w:p w14:paraId="726C0DF3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各公共運輸運量是否會因月票實施而變化</w:t>
            </w:r>
          </w:p>
        </w:tc>
        <w:tc>
          <w:tcPr>
            <w:tcW w:w="177" w:type="pct"/>
            <w:vAlign w:val="center"/>
          </w:tcPr>
          <w:p w14:paraId="36600EA7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%</w:t>
            </w:r>
          </w:p>
        </w:tc>
        <w:tc>
          <w:tcPr>
            <w:tcW w:w="797" w:type="pct"/>
            <w:vAlign w:val="center"/>
          </w:tcPr>
          <w:p w14:paraId="1E1EDB63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jc w:val="left"/>
            </w:pPr>
            <w:r w:rsidRPr="00025A8A">
              <w:t>各</w:t>
            </w:r>
            <w:proofErr w:type="gramStart"/>
            <w:r w:rsidRPr="00025A8A">
              <w:t>期各運具</w:t>
            </w:r>
            <w:proofErr w:type="gramEnd"/>
            <w:r w:rsidRPr="00025A8A">
              <w:t>運量</w:t>
            </w:r>
          </w:p>
        </w:tc>
        <w:tc>
          <w:tcPr>
            <w:tcW w:w="545" w:type="pct"/>
            <w:shd w:val="clear" w:color="auto" w:fill="auto"/>
            <w:vAlign w:val="center"/>
          </w:tcPr>
          <w:p w14:paraId="20D319B7" w14:textId="562A152E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公務統計資料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5D8E5686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分縣市、分運具</w:t>
            </w:r>
          </w:p>
        </w:tc>
      </w:tr>
      <w:tr w:rsidR="0011582F" w:rsidRPr="00025A8A" w14:paraId="7C2BA8FF" w14:textId="77777777" w:rsidTr="0011582F">
        <w:trPr>
          <w:jc w:val="center"/>
        </w:trPr>
        <w:tc>
          <w:tcPr>
            <w:tcW w:w="276" w:type="pct"/>
            <w:vMerge/>
          </w:tcPr>
          <w:p w14:paraId="2ACF073A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</w:p>
        </w:tc>
        <w:tc>
          <w:tcPr>
            <w:tcW w:w="504" w:type="pct"/>
            <w:vAlign w:val="center"/>
          </w:tcPr>
          <w:p w14:paraId="63550307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各縣市運量變化率</w:t>
            </w:r>
          </w:p>
        </w:tc>
        <w:tc>
          <w:tcPr>
            <w:tcW w:w="1325" w:type="pct"/>
            <w:vAlign w:val="center"/>
          </w:tcPr>
          <w:p w14:paraId="4F61FDE8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某</w:t>
            </w:r>
            <w:proofErr w:type="gramStart"/>
            <w:r w:rsidRPr="00025A8A">
              <w:t>縣市公運運量</w:t>
            </w:r>
            <w:proofErr w:type="gramEnd"/>
            <w:r w:rsidRPr="00025A8A">
              <w:t>變化率</w:t>
            </w:r>
            <w:r w:rsidRPr="00025A8A">
              <w:t>=(</w:t>
            </w:r>
            <w:r w:rsidRPr="00025A8A">
              <w:t>當期某縣市公運運量</w:t>
            </w:r>
            <w:r w:rsidRPr="00025A8A">
              <w:t>-</w:t>
            </w:r>
            <w:r w:rsidRPr="00025A8A">
              <w:t>前期某縣市公運運量</w:t>
            </w:r>
            <w:r w:rsidRPr="00025A8A">
              <w:t>)/</w:t>
            </w:r>
            <w:r w:rsidRPr="00025A8A">
              <w:t>前期某</w:t>
            </w:r>
            <w:proofErr w:type="gramStart"/>
            <w:r w:rsidRPr="00025A8A">
              <w:t>縣市公運運</w:t>
            </w:r>
            <w:proofErr w:type="gramEnd"/>
            <w:r w:rsidRPr="00025A8A">
              <w:t>量</w:t>
            </w:r>
          </w:p>
        </w:tc>
        <w:tc>
          <w:tcPr>
            <w:tcW w:w="803" w:type="pct"/>
            <w:vAlign w:val="center"/>
          </w:tcPr>
          <w:p w14:paraId="7D56895D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各縣市公共運輸運量是否會因月票實施而變化</w:t>
            </w:r>
          </w:p>
        </w:tc>
        <w:tc>
          <w:tcPr>
            <w:tcW w:w="177" w:type="pct"/>
            <w:vAlign w:val="center"/>
          </w:tcPr>
          <w:p w14:paraId="7BE0BE0D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%</w:t>
            </w:r>
          </w:p>
        </w:tc>
        <w:tc>
          <w:tcPr>
            <w:tcW w:w="797" w:type="pct"/>
            <w:vAlign w:val="center"/>
          </w:tcPr>
          <w:p w14:paraId="77E7EFEE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jc w:val="left"/>
            </w:pPr>
            <w:r w:rsidRPr="00025A8A">
              <w:t>各</w:t>
            </w:r>
            <w:proofErr w:type="gramStart"/>
            <w:r w:rsidRPr="00025A8A">
              <w:t>期各運具</w:t>
            </w:r>
            <w:proofErr w:type="gramEnd"/>
            <w:r w:rsidRPr="00025A8A">
              <w:t>運量</w:t>
            </w:r>
          </w:p>
        </w:tc>
        <w:tc>
          <w:tcPr>
            <w:tcW w:w="545" w:type="pct"/>
            <w:shd w:val="clear" w:color="auto" w:fill="auto"/>
            <w:vAlign w:val="center"/>
          </w:tcPr>
          <w:p w14:paraId="17EC7D5E" w14:textId="277B579C" w:rsidR="0011582F" w:rsidRPr="00025A8A" w:rsidRDefault="0011582F" w:rsidP="00682481">
            <w:pPr>
              <w:pStyle w:val="aa"/>
              <w:snapToGrid w:val="0"/>
              <w:spacing w:line="240" w:lineRule="auto"/>
              <w:rPr>
                <w:strike/>
              </w:rPr>
            </w:pPr>
            <w:r w:rsidRPr="00025A8A">
              <w:t>公務統計資料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66923505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rPr>
                <w:strike/>
              </w:rPr>
            </w:pPr>
            <w:r w:rsidRPr="00025A8A">
              <w:t>分縣市、分運具</w:t>
            </w:r>
          </w:p>
        </w:tc>
      </w:tr>
      <w:tr w:rsidR="0011582F" w:rsidRPr="00025A8A" w14:paraId="0BD7AA09" w14:textId="77777777" w:rsidTr="0011582F">
        <w:trPr>
          <w:jc w:val="center"/>
        </w:trPr>
        <w:tc>
          <w:tcPr>
            <w:tcW w:w="276" w:type="pct"/>
            <w:vMerge/>
          </w:tcPr>
          <w:p w14:paraId="31FF3F37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</w:p>
        </w:tc>
        <w:tc>
          <w:tcPr>
            <w:tcW w:w="504" w:type="pct"/>
            <w:vAlign w:val="center"/>
          </w:tcPr>
          <w:p w14:paraId="2828EF22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各生活圈運量變化率</w:t>
            </w:r>
          </w:p>
        </w:tc>
        <w:tc>
          <w:tcPr>
            <w:tcW w:w="1325" w:type="pct"/>
            <w:vAlign w:val="center"/>
          </w:tcPr>
          <w:p w14:paraId="456AB023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某</w:t>
            </w:r>
            <w:proofErr w:type="gramStart"/>
            <w:r w:rsidRPr="00025A8A">
              <w:t>生活圈公運運量</w:t>
            </w:r>
            <w:proofErr w:type="gramEnd"/>
            <w:r w:rsidRPr="00025A8A">
              <w:t>變化率</w:t>
            </w:r>
            <w:r w:rsidRPr="00025A8A">
              <w:t>=(</w:t>
            </w:r>
            <w:r w:rsidRPr="00025A8A">
              <w:t>當期某生活圈公運運量</w:t>
            </w:r>
            <w:r w:rsidRPr="00025A8A">
              <w:t>-</w:t>
            </w:r>
            <w:r w:rsidRPr="00025A8A">
              <w:t>前期某生活圈公運運量</w:t>
            </w:r>
            <w:r w:rsidRPr="00025A8A">
              <w:t>)/</w:t>
            </w:r>
            <w:r w:rsidRPr="00025A8A">
              <w:t>前期某</w:t>
            </w:r>
            <w:proofErr w:type="gramStart"/>
            <w:r w:rsidRPr="00025A8A">
              <w:t>生活圈公運運</w:t>
            </w:r>
            <w:proofErr w:type="gramEnd"/>
            <w:r w:rsidRPr="00025A8A">
              <w:t>量</w:t>
            </w:r>
          </w:p>
        </w:tc>
        <w:tc>
          <w:tcPr>
            <w:tcW w:w="803" w:type="pct"/>
            <w:vAlign w:val="center"/>
          </w:tcPr>
          <w:p w14:paraId="28F3FED1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各生活圈公共運輸運量是否會因月票實施而變化</w:t>
            </w:r>
          </w:p>
        </w:tc>
        <w:tc>
          <w:tcPr>
            <w:tcW w:w="177" w:type="pct"/>
            <w:vAlign w:val="center"/>
          </w:tcPr>
          <w:p w14:paraId="33835212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%</w:t>
            </w:r>
          </w:p>
        </w:tc>
        <w:tc>
          <w:tcPr>
            <w:tcW w:w="797" w:type="pct"/>
            <w:vAlign w:val="center"/>
          </w:tcPr>
          <w:p w14:paraId="4FF05494" w14:textId="77777777" w:rsidR="0011582F" w:rsidRPr="00025A8A" w:rsidRDefault="0011582F" w:rsidP="00682481">
            <w:pPr>
              <w:pStyle w:val="aa"/>
              <w:snapToGrid w:val="0"/>
              <w:spacing w:line="240" w:lineRule="auto"/>
              <w:jc w:val="left"/>
            </w:pPr>
            <w:r w:rsidRPr="00025A8A">
              <w:t>各</w:t>
            </w:r>
            <w:proofErr w:type="gramStart"/>
            <w:r w:rsidRPr="00025A8A">
              <w:t>期各運具</w:t>
            </w:r>
            <w:proofErr w:type="gramEnd"/>
            <w:r w:rsidRPr="00025A8A">
              <w:t>運量</w:t>
            </w:r>
          </w:p>
        </w:tc>
        <w:tc>
          <w:tcPr>
            <w:tcW w:w="545" w:type="pct"/>
            <w:shd w:val="clear" w:color="auto" w:fill="auto"/>
            <w:vAlign w:val="center"/>
          </w:tcPr>
          <w:p w14:paraId="51E99C03" w14:textId="41DCC39A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公務統計資料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0A130EA9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分縣市、分運具</w:t>
            </w:r>
          </w:p>
        </w:tc>
      </w:tr>
      <w:tr w:rsidR="0011582F" w:rsidRPr="00025A8A" w14:paraId="2731A911" w14:textId="77777777" w:rsidTr="0011582F">
        <w:trPr>
          <w:jc w:val="center"/>
        </w:trPr>
        <w:tc>
          <w:tcPr>
            <w:tcW w:w="276" w:type="pct"/>
            <w:vAlign w:val="center"/>
          </w:tcPr>
          <w:p w14:paraId="6BA2E30C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交通事故減少</w:t>
            </w:r>
          </w:p>
        </w:tc>
        <w:tc>
          <w:tcPr>
            <w:tcW w:w="504" w:type="pct"/>
            <w:vAlign w:val="center"/>
          </w:tcPr>
          <w:p w14:paraId="62ED4402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各縣市交通事故變化率</w:t>
            </w:r>
          </w:p>
        </w:tc>
        <w:tc>
          <w:tcPr>
            <w:tcW w:w="1325" w:type="pct"/>
            <w:vAlign w:val="center"/>
          </w:tcPr>
          <w:p w14:paraId="4356FC49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某縣市</w:t>
            </w:r>
            <w:r w:rsidRPr="00025A8A">
              <w:t>A1</w:t>
            </w:r>
            <w:r w:rsidRPr="00025A8A">
              <w:t>、</w:t>
            </w:r>
            <w:r w:rsidRPr="00025A8A">
              <w:t>A2</w:t>
            </w:r>
            <w:r w:rsidRPr="00025A8A">
              <w:t>事故變化率</w:t>
            </w:r>
            <w:r w:rsidRPr="00025A8A">
              <w:t>=(</w:t>
            </w:r>
            <w:r w:rsidRPr="00025A8A">
              <w:t>當期</w:t>
            </w:r>
            <w:r w:rsidRPr="00025A8A">
              <w:t>A1</w:t>
            </w:r>
            <w:r w:rsidRPr="00025A8A">
              <w:t>、</w:t>
            </w:r>
            <w:r w:rsidRPr="00025A8A">
              <w:t>A2</w:t>
            </w:r>
            <w:r w:rsidRPr="00025A8A">
              <w:t>事故件數</w:t>
            </w:r>
            <w:r w:rsidRPr="00025A8A">
              <w:t>-</w:t>
            </w:r>
            <w:r w:rsidRPr="00025A8A">
              <w:t>前期</w:t>
            </w:r>
            <w:r w:rsidRPr="00025A8A">
              <w:t>A1</w:t>
            </w:r>
            <w:r w:rsidRPr="00025A8A">
              <w:t>、</w:t>
            </w:r>
            <w:r w:rsidRPr="00025A8A">
              <w:t>A2</w:t>
            </w:r>
            <w:r w:rsidRPr="00025A8A">
              <w:t>事故件數</w:t>
            </w:r>
            <w:r w:rsidRPr="00025A8A">
              <w:t>)/</w:t>
            </w:r>
            <w:r w:rsidRPr="00025A8A">
              <w:t>前期</w:t>
            </w:r>
            <w:r w:rsidRPr="00025A8A">
              <w:t>A1</w:t>
            </w:r>
            <w:r w:rsidRPr="00025A8A">
              <w:t>、</w:t>
            </w:r>
            <w:r w:rsidRPr="00025A8A">
              <w:t>A2</w:t>
            </w:r>
            <w:r w:rsidRPr="00025A8A">
              <w:t>事故件數</w:t>
            </w:r>
          </w:p>
        </w:tc>
        <w:tc>
          <w:tcPr>
            <w:tcW w:w="803" w:type="pct"/>
            <w:vAlign w:val="center"/>
          </w:tcPr>
          <w:p w14:paraId="7B194426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A1</w:t>
            </w:r>
            <w:r w:rsidRPr="00025A8A">
              <w:t>、</w:t>
            </w:r>
            <w:r w:rsidRPr="00025A8A">
              <w:t>A2</w:t>
            </w:r>
            <w:r w:rsidRPr="00025A8A">
              <w:t>事故件數是否會因月票實施而變化</w:t>
            </w:r>
          </w:p>
        </w:tc>
        <w:tc>
          <w:tcPr>
            <w:tcW w:w="177" w:type="pct"/>
            <w:vAlign w:val="center"/>
          </w:tcPr>
          <w:p w14:paraId="13585886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%</w:t>
            </w:r>
          </w:p>
        </w:tc>
        <w:tc>
          <w:tcPr>
            <w:tcW w:w="797" w:type="pct"/>
            <w:vAlign w:val="center"/>
          </w:tcPr>
          <w:p w14:paraId="3F48C3C1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A1</w:t>
            </w:r>
            <w:r w:rsidRPr="00025A8A">
              <w:t>、</w:t>
            </w:r>
            <w:r w:rsidRPr="00025A8A">
              <w:t>A2</w:t>
            </w:r>
            <w:r w:rsidRPr="00025A8A">
              <w:t>事故件數</w:t>
            </w:r>
          </w:p>
        </w:tc>
        <w:tc>
          <w:tcPr>
            <w:tcW w:w="545" w:type="pct"/>
            <w:shd w:val="clear" w:color="auto" w:fill="auto"/>
            <w:vAlign w:val="center"/>
          </w:tcPr>
          <w:p w14:paraId="658A89FE" w14:textId="4D48D32C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公務統計資料</w:t>
            </w:r>
          </w:p>
        </w:tc>
        <w:tc>
          <w:tcPr>
            <w:tcW w:w="573" w:type="pct"/>
            <w:shd w:val="clear" w:color="auto" w:fill="auto"/>
            <w:vAlign w:val="center"/>
          </w:tcPr>
          <w:p w14:paraId="0EDCCF09" w14:textId="77777777" w:rsidR="0011582F" w:rsidRPr="00025A8A" w:rsidRDefault="0011582F" w:rsidP="00682481">
            <w:pPr>
              <w:pStyle w:val="aa"/>
              <w:snapToGrid w:val="0"/>
              <w:spacing w:line="240" w:lineRule="auto"/>
            </w:pPr>
            <w:r w:rsidRPr="00025A8A">
              <w:t>分縣市</w:t>
            </w:r>
          </w:p>
        </w:tc>
      </w:tr>
    </w:tbl>
    <w:p w14:paraId="32D01118" w14:textId="76EA2752" w:rsidR="00DE1B25" w:rsidRPr="00025A8A" w:rsidRDefault="00DE1B25" w:rsidP="00682481">
      <w:pPr>
        <w:pStyle w:val="a7"/>
        <w:spacing w:before="180" w:after="180"/>
        <w:rPr>
          <w:color w:val="000000" w:themeColor="text1"/>
        </w:rPr>
      </w:pPr>
      <w:bookmarkStart w:id="2" w:name="_Toc188383168"/>
      <w:r w:rsidRPr="00025A8A">
        <w:rPr>
          <w:rFonts w:hint="eastAsia"/>
          <w:color w:val="000000" w:themeColor="text1"/>
        </w:rPr>
        <w:lastRenderedPageBreak/>
        <w:t>核心評估指標定義及資料來源說明</w:t>
      </w:r>
      <w:bookmarkEnd w:id="2"/>
    </w:p>
    <w:tbl>
      <w:tblPr>
        <w:tblStyle w:val="a9"/>
        <w:tblW w:w="4597" w:type="pct"/>
        <w:jc w:val="center"/>
        <w:tblLook w:val="04A0" w:firstRow="1" w:lastRow="0" w:firstColumn="1" w:lastColumn="0" w:noHBand="0" w:noVBand="1"/>
      </w:tblPr>
      <w:tblGrid>
        <w:gridCol w:w="937"/>
        <w:gridCol w:w="1879"/>
        <w:gridCol w:w="3166"/>
        <w:gridCol w:w="2040"/>
        <w:gridCol w:w="903"/>
        <w:gridCol w:w="2269"/>
        <w:gridCol w:w="1418"/>
        <w:gridCol w:w="1536"/>
      </w:tblGrid>
      <w:tr w:rsidR="00C40B37" w:rsidRPr="00025A8A" w14:paraId="48FD51E4" w14:textId="77777777" w:rsidTr="0011582F">
        <w:trPr>
          <w:trHeight w:val="758"/>
          <w:tblHeader/>
          <w:jc w:val="center"/>
        </w:trPr>
        <w:tc>
          <w:tcPr>
            <w:tcW w:w="331" w:type="pct"/>
            <w:shd w:val="clear" w:color="auto" w:fill="FBE4D5" w:themeFill="accent2" w:themeFillTint="33"/>
            <w:vAlign w:val="center"/>
          </w:tcPr>
          <w:p w14:paraId="732C99C9" w14:textId="77777777" w:rsidR="00C40B37" w:rsidRPr="00025A8A" w:rsidRDefault="00C40B37" w:rsidP="00C40B37">
            <w:pPr>
              <w:pStyle w:val="aa"/>
              <w:snapToGrid w:val="0"/>
              <w:spacing w:line="240" w:lineRule="auto"/>
              <w:rPr>
                <w:b/>
              </w:rPr>
            </w:pPr>
            <w:bookmarkStart w:id="3" w:name="_GoBack" w:colFirst="6" w:colLast="6"/>
            <w:r w:rsidRPr="00025A8A">
              <w:rPr>
                <w:b/>
              </w:rPr>
              <w:t>指標類型</w:t>
            </w:r>
          </w:p>
        </w:tc>
        <w:tc>
          <w:tcPr>
            <w:tcW w:w="664" w:type="pct"/>
            <w:shd w:val="clear" w:color="auto" w:fill="FBE4D5" w:themeFill="accent2" w:themeFillTint="33"/>
            <w:vAlign w:val="center"/>
          </w:tcPr>
          <w:p w14:paraId="1114AC95" w14:textId="77777777" w:rsidR="00C40B37" w:rsidRPr="00025A8A" w:rsidRDefault="00C40B37" w:rsidP="00C40B37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指標項目</w:t>
            </w:r>
          </w:p>
        </w:tc>
        <w:tc>
          <w:tcPr>
            <w:tcW w:w="1119" w:type="pct"/>
            <w:shd w:val="clear" w:color="auto" w:fill="FBE4D5" w:themeFill="accent2" w:themeFillTint="33"/>
            <w:vAlign w:val="center"/>
          </w:tcPr>
          <w:p w14:paraId="612D8DA5" w14:textId="77777777" w:rsidR="00C40B37" w:rsidRPr="00025A8A" w:rsidRDefault="00C40B37" w:rsidP="00C40B37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操作型定義</w:t>
            </w:r>
          </w:p>
        </w:tc>
        <w:tc>
          <w:tcPr>
            <w:tcW w:w="721" w:type="pct"/>
            <w:shd w:val="clear" w:color="auto" w:fill="FBE4D5" w:themeFill="accent2" w:themeFillTint="33"/>
            <w:vAlign w:val="center"/>
          </w:tcPr>
          <w:p w14:paraId="2B9FD1A7" w14:textId="77777777" w:rsidR="00C40B37" w:rsidRPr="00025A8A" w:rsidRDefault="00C40B37" w:rsidP="00C40B37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說明</w:t>
            </w:r>
          </w:p>
        </w:tc>
        <w:tc>
          <w:tcPr>
            <w:tcW w:w="319" w:type="pct"/>
            <w:shd w:val="clear" w:color="auto" w:fill="FBE4D5" w:themeFill="accent2" w:themeFillTint="33"/>
            <w:vAlign w:val="center"/>
          </w:tcPr>
          <w:p w14:paraId="2D3ABDEC" w14:textId="77777777" w:rsidR="00C40B37" w:rsidRPr="00025A8A" w:rsidRDefault="00C40B37" w:rsidP="00C40B37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單位</w:t>
            </w:r>
          </w:p>
        </w:tc>
        <w:tc>
          <w:tcPr>
            <w:tcW w:w="802" w:type="pct"/>
            <w:shd w:val="clear" w:color="auto" w:fill="FBE4D5" w:themeFill="accent2" w:themeFillTint="33"/>
            <w:vAlign w:val="center"/>
          </w:tcPr>
          <w:p w14:paraId="4194E0CC" w14:textId="77777777" w:rsidR="00C40B37" w:rsidRPr="00025A8A" w:rsidRDefault="00C40B37" w:rsidP="00C40B37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所需搜集資料項目</w:t>
            </w:r>
          </w:p>
        </w:tc>
        <w:tc>
          <w:tcPr>
            <w:tcW w:w="501" w:type="pct"/>
            <w:shd w:val="clear" w:color="auto" w:fill="FBE4D5" w:themeFill="accent2" w:themeFillTint="33"/>
            <w:vAlign w:val="center"/>
          </w:tcPr>
          <w:p w14:paraId="0780D8B1" w14:textId="363BDEE0" w:rsidR="00C40B37" w:rsidRPr="00025A8A" w:rsidRDefault="00C40B37" w:rsidP="00C40B37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資料來源</w:t>
            </w:r>
          </w:p>
        </w:tc>
        <w:tc>
          <w:tcPr>
            <w:tcW w:w="543" w:type="pct"/>
            <w:shd w:val="clear" w:color="auto" w:fill="FBE4D5" w:themeFill="accent2" w:themeFillTint="33"/>
            <w:vAlign w:val="center"/>
          </w:tcPr>
          <w:p w14:paraId="7505A4F6" w14:textId="77777777" w:rsidR="00C40B37" w:rsidRPr="00025A8A" w:rsidRDefault="00C40B37" w:rsidP="00C40B37">
            <w:pPr>
              <w:pStyle w:val="aa"/>
              <w:snapToGrid w:val="0"/>
              <w:spacing w:line="240" w:lineRule="auto"/>
              <w:rPr>
                <w:b/>
              </w:rPr>
            </w:pPr>
            <w:r w:rsidRPr="00025A8A">
              <w:rPr>
                <w:b/>
              </w:rPr>
              <w:t>區分指標產製單位</w:t>
            </w:r>
            <w:r w:rsidRPr="00025A8A">
              <w:rPr>
                <w:b/>
              </w:rPr>
              <w:t>/</w:t>
            </w:r>
            <w:r w:rsidRPr="00025A8A">
              <w:rPr>
                <w:b/>
              </w:rPr>
              <w:t>計畫</w:t>
            </w:r>
          </w:p>
        </w:tc>
      </w:tr>
      <w:bookmarkEnd w:id="3"/>
      <w:tr w:rsidR="00C40B37" w:rsidRPr="00025A8A" w14:paraId="492BC01F" w14:textId="77777777" w:rsidTr="0011582F">
        <w:trPr>
          <w:trHeight w:val="1232"/>
          <w:jc w:val="center"/>
        </w:trPr>
        <w:tc>
          <w:tcPr>
            <w:tcW w:w="331" w:type="pct"/>
            <w:vMerge w:val="restart"/>
            <w:vAlign w:val="center"/>
          </w:tcPr>
          <w:p w14:paraId="33C3E5B8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交通平權</w:t>
            </w:r>
          </w:p>
        </w:tc>
        <w:tc>
          <w:tcPr>
            <w:tcW w:w="664" w:type="pct"/>
            <w:vAlign w:val="center"/>
          </w:tcPr>
          <w:p w14:paraId="7D5093DD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減輕通勤交通支出</w:t>
            </w:r>
          </w:p>
        </w:tc>
        <w:tc>
          <w:tcPr>
            <w:tcW w:w="1119" w:type="pct"/>
            <w:vAlign w:val="center"/>
          </w:tcPr>
          <w:p w14:paraId="17458531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交通支出節省金額</w:t>
            </w:r>
            <w:r w:rsidRPr="00025A8A">
              <w:t>=(</w:t>
            </w:r>
            <w:r w:rsidRPr="00025A8A">
              <w:t>每人平均應付票價</w:t>
            </w:r>
            <w:r w:rsidRPr="00025A8A">
              <w:t>-</w:t>
            </w:r>
            <w:r w:rsidRPr="00025A8A">
              <w:t>月票費用</w:t>
            </w:r>
            <w:r w:rsidRPr="00025A8A">
              <w:t>)</w:t>
            </w:r>
          </w:p>
        </w:tc>
        <w:tc>
          <w:tcPr>
            <w:tcW w:w="721" w:type="pct"/>
            <w:vAlign w:val="center"/>
          </w:tcPr>
          <w:p w14:paraId="61135EAC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月票使用者平均交通支出節省金額</w:t>
            </w:r>
          </w:p>
        </w:tc>
        <w:tc>
          <w:tcPr>
            <w:tcW w:w="319" w:type="pct"/>
            <w:vAlign w:val="center"/>
          </w:tcPr>
          <w:p w14:paraId="3F23DD54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元</w:t>
            </w:r>
          </w:p>
        </w:tc>
        <w:tc>
          <w:tcPr>
            <w:tcW w:w="802" w:type="pct"/>
            <w:vAlign w:val="center"/>
          </w:tcPr>
          <w:p w14:paraId="5DEEA81F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原搭乘公共運輸應付總金額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27B4877A" w14:textId="5361FC36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>
              <w:t>票證資料</w:t>
            </w:r>
          </w:p>
        </w:tc>
        <w:tc>
          <w:tcPr>
            <w:tcW w:w="543" w:type="pct"/>
            <w:shd w:val="clear" w:color="auto" w:fill="auto"/>
            <w:vAlign w:val="center"/>
          </w:tcPr>
          <w:p w14:paraId="53BE2178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分鄉鎮市區、分運具</w:t>
            </w:r>
          </w:p>
        </w:tc>
      </w:tr>
      <w:tr w:rsidR="00C40B37" w:rsidRPr="00025A8A" w14:paraId="5E5AAAAE" w14:textId="77777777" w:rsidTr="0011582F">
        <w:trPr>
          <w:trHeight w:val="1934"/>
          <w:jc w:val="center"/>
        </w:trPr>
        <w:tc>
          <w:tcPr>
            <w:tcW w:w="331" w:type="pct"/>
            <w:vMerge/>
            <w:vAlign w:val="center"/>
          </w:tcPr>
          <w:p w14:paraId="2E7645C5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0A5F6E9C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提高交通負擔公平性</w:t>
            </w:r>
          </w:p>
        </w:tc>
        <w:tc>
          <w:tcPr>
            <w:tcW w:w="1119" w:type="pct"/>
            <w:shd w:val="clear" w:color="auto" w:fill="auto"/>
            <w:vAlign w:val="center"/>
          </w:tcPr>
          <w:p w14:paraId="0A231A8F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rPr>
                <w:rFonts w:hint="eastAsia"/>
              </w:rPr>
              <w:t>交通負擔公平性</w:t>
            </w:r>
            <w:r w:rsidRPr="00025A8A">
              <w:rPr>
                <w:rFonts w:hint="eastAsia"/>
              </w:rPr>
              <w:t xml:space="preserve"> =(</w:t>
            </w:r>
            <w:r w:rsidRPr="00025A8A">
              <w:rPr>
                <w:rFonts w:hint="eastAsia"/>
              </w:rPr>
              <w:t>實施前各行政區交通費用支出之變異係數</w:t>
            </w:r>
            <w:r w:rsidRPr="00025A8A">
              <w:rPr>
                <w:rFonts w:hint="eastAsia"/>
              </w:rPr>
              <w:t>-</w:t>
            </w:r>
            <w:r w:rsidRPr="00025A8A">
              <w:rPr>
                <w:rFonts w:hint="eastAsia"/>
              </w:rPr>
              <w:t>實施後前各行政區交通費用支出之變異係數</w:t>
            </w:r>
            <w:r w:rsidRPr="00025A8A">
              <w:rPr>
                <w:rFonts w:hint="eastAsia"/>
              </w:rPr>
              <w:t>))/</w:t>
            </w:r>
            <w:r w:rsidRPr="00025A8A">
              <w:rPr>
                <w:rFonts w:hint="eastAsia"/>
              </w:rPr>
              <w:t>實施前各行政區交通費用支出之變異係數</w:t>
            </w:r>
          </w:p>
        </w:tc>
        <w:tc>
          <w:tcPr>
            <w:tcW w:w="721" w:type="pct"/>
            <w:shd w:val="clear" w:color="auto" w:fill="auto"/>
            <w:vAlign w:val="center"/>
          </w:tcPr>
          <w:p w14:paraId="7FBEA927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月票實施後各行政區公共運輸交通費支出之變異</w:t>
            </w:r>
            <w:r w:rsidRPr="00025A8A">
              <w:rPr>
                <w:rFonts w:hint="eastAsia"/>
              </w:rPr>
              <w:t>系</w:t>
            </w:r>
            <w:r w:rsidRPr="00025A8A">
              <w:t>數減少</w:t>
            </w:r>
          </w:p>
        </w:tc>
        <w:tc>
          <w:tcPr>
            <w:tcW w:w="319" w:type="pct"/>
            <w:shd w:val="clear" w:color="auto" w:fill="auto"/>
            <w:vAlign w:val="center"/>
          </w:tcPr>
          <w:p w14:paraId="506C28C4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rPr>
                <w:rFonts w:hint="eastAsia"/>
              </w:rPr>
              <w:t>比例</w:t>
            </w:r>
          </w:p>
        </w:tc>
        <w:tc>
          <w:tcPr>
            <w:tcW w:w="802" w:type="pct"/>
            <w:shd w:val="clear" w:color="auto" w:fill="auto"/>
            <w:vAlign w:val="center"/>
          </w:tcPr>
          <w:p w14:paraId="6064BABF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各行政區交通費用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135D1F89" w14:textId="6024870E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>
              <w:t>票證資料</w:t>
            </w:r>
          </w:p>
        </w:tc>
        <w:tc>
          <w:tcPr>
            <w:tcW w:w="543" w:type="pct"/>
            <w:shd w:val="clear" w:color="auto" w:fill="auto"/>
            <w:vAlign w:val="center"/>
          </w:tcPr>
          <w:p w14:paraId="768F7EB1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分鄉鎮市區</w:t>
            </w:r>
          </w:p>
        </w:tc>
      </w:tr>
      <w:tr w:rsidR="00C40B37" w:rsidRPr="00025A8A" w14:paraId="41D4AC80" w14:textId="77777777" w:rsidTr="0011582F">
        <w:trPr>
          <w:jc w:val="center"/>
        </w:trPr>
        <w:tc>
          <w:tcPr>
            <w:tcW w:w="331" w:type="pct"/>
            <w:vMerge w:val="restart"/>
            <w:vAlign w:val="center"/>
          </w:tcPr>
          <w:p w14:paraId="518DA4D4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proofErr w:type="gramStart"/>
            <w:r w:rsidRPr="00025A8A">
              <w:t>健全公運</w:t>
            </w:r>
            <w:proofErr w:type="gramEnd"/>
          </w:p>
        </w:tc>
        <w:tc>
          <w:tcPr>
            <w:tcW w:w="664" w:type="pct"/>
            <w:vAlign w:val="center"/>
          </w:tcPr>
          <w:p w14:paraId="41F93D92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提升公共運輸運量</w:t>
            </w:r>
          </w:p>
        </w:tc>
        <w:tc>
          <w:tcPr>
            <w:tcW w:w="1119" w:type="pct"/>
            <w:vAlign w:val="center"/>
          </w:tcPr>
          <w:p w14:paraId="11BBDABD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某</w:t>
            </w:r>
            <w:proofErr w:type="gramStart"/>
            <w:r w:rsidRPr="00025A8A">
              <w:t>縣市公運運量</w:t>
            </w:r>
            <w:proofErr w:type="gramEnd"/>
            <w:r w:rsidRPr="00025A8A">
              <w:t>變化率</w:t>
            </w:r>
            <w:r w:rsidRPr="00025A8A">
              <w:t>=(</w:t>
            </w:r>
            <w:r w:rsidRPr="00025A8A">
              <w:t>當期某縣市公</w:t>
            </w:r>
            <w:proofErr w:type="gramStart"/>
            <w:r w:rsidRPr="00025A8A">
              <w:t>運</w:t>
            </w:r>
            <w:proofErr w:type="gramEnd"/>
            <w:r w:rsidRPr="00025A8A">
              <w:t>運量</w:t>
            </w:r>
            <w:r w:rsidRPr="00025A8A">
              <w:t>-</w:t>
            </w:r>
            <w:r w:rsidRPr="00025A8A">
              <w:t>前期某縣市公運運量</w:t>
            </w:r>
            <w:r w:rsidRPr="00025A8A">
              <w:t>)/</w:t>
            </w:r>
            <w:r w:rsidRPr="00025A8A">
              <w:t>前期某</w:t>
            </w:r>
            <w:proofErr w:type="gramStart"/>
            <w:r w:rsidRPr="00025A8A">
              <w:t>縣市公運運</w:t>
            </w:r>
            <w:proofErr w:type="gramEnd"/>
            <w:r w:rsidRPr="00025A8A">
              <w:t>量</w:t>
            </w:r>
          </w:p>
        </w:tc>
        <w:tc>
          <w:tcPr>
            <w:tcW w:w="721" w:type="pct"/>
            <w:vAlign w:val="center"/>
          </w:tcPr>
          <w:p w14:paraId="6EC3502F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各縣市公共運輸運量是否會因月票實施而變化</w:t>
            </w:r>
          </w:p>
        </w:tc>
        <w:tc>
          <w:tcPr>
            <w:tcW w:w="319" w:type="pct"/>
            <w:vAlign w:val="center"/>
          </w:tcPr>
          <w:p w14:paraId="55E81EDF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%</w:t>
            </w:r>
          </w:p>
        </w:tc>
        <w:tc>
          <w:tcPr>
            <w:tcW w:w="802" w:type="pct"/>
            <w:vAlign w:val="center"/>
          </w:tcPr>
          <w:p w14:paraId="44F53E55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各</w:t>
            </w:r>
            <w:proofErr w:type="gramStart"/>
            <w:r w:rsidRPr="00025A8A">
              <w:t>期各運具</w:t>
            </w:r>
            <w:proofErr w:type="gramEnd"/>
            <w:r w:rsidRPr="00025A8A">
              <w:t>運量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0F651D3F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公務統計資料</w:t>
            </w:r>
          </w:p>
          <w:p w14:paraId="351FAF9C" w14:textId="06C2A7D3" w:rsidR="00C40B37" w:rsidRPr="00025A8A" w:rsidRDefault="00C40B37" w:rsidP="00C40B37">
            <w:pPr>
              <w:pStyle w:val="aa"/>
              <w:snapToGrid w:val="0"/>
              <w:spacing w:line="240" w:lineRule="auto"/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BA0D694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分縣市、分運具</w:t>
            </w:r>
          </w:p>
        </w:tc>
      </w:tr>
      <w:tr w:rsidR="00C40B37" w:rsidRPr="00025A8A" w14:paraId="3DF615AE" w14:textId="77777777" w:rsidTr="0011582F">
        <w:trPr>
          <w:jc w:val="center"/>
        </w:trPr>
        <w:tc>
          <w:tcPr>
            <w:tcW w:w="331" w:type="pct"/>
            <w:vMerge/>
            <w:vAlign w:val="center"/>
          </w:tcPr>
          <w:p w14:paraId="16EA7FB2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</w:p>
        </w:tc>
        <w:tc>
          <w:tcPr>
            <w:tcW w:w="664" w:type="pct"/>
            <w:vAlign w:val="center"/>
          </w:tcPr>
          <w:p w14:paraId="3D31974C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proofErr w:type="gramStart"/>
            <w:r w:rsidRPr="00025A8A">
              <w:t>提高公運業者</w:t>
            </w:r>
            <w:proofErr w:type="gramEnd"/>
            <w:r w:rsidRPr="00025A8A">
              <w:t>營收</w:t>
            </w:r>
          </w:p>
        </w:tc>
        <w:tc>
          <w:tcPr>
            <w:tcW w:w="1119" w:type="pct"/>
            <w:vAlign w:val="center"/>
          </w:tcPr>
          <w:p w14:paraId="32860AF6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業者財務狀況改善率</w:t>
            </w:r>
            <w:r w:rsidRPr="00025A8A">
              <w:t>=(</w:t>
            </w:r>
            <w:r w:rsidRPr="00025A8A">
              <w:t>實施後業者總票箱收入</w:t>
            </w:r>
            <w:r w:rsidRPr="00025A8A">
              <w:t>-</w:t>
            </w:r>
            <w:r w:rsidRPr="00025A8A">
              <w:t>實施前業者總票箱收入</w:t>
            </w:r>
            <w:r w:rsidRPr="00025A8A">
              <w:t>)/</w:t>
            </w:r>
            <w:r w:rsidRPr="00025A8A">
              <w:t>實施前業者總票箱收入</w:t>
            </w:r>
          </w:p>
        </w:tc>
        <w:tc>
          <w:tcPr>
            <w:tcW w:w="721" w:type="pct"/>
            <w:vAlign w:val="center"/>
          </w:tcPr>
          <w:p w14:paraId="5B5F5CBA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月票為公共運輸業者帶來增加營收改善幅度</w:t>
            </w:r>
          </w:p>
        </w:tc>
        <w:tc>
          <w:tcPr>
            <w:tcW w:w="319" w:type="pct"/>
            <w:vAlign w:val="center"/>
          </w:tcPr>
          <w:p w14:paraId="747531D8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%</w:t>
            </w:r>
          </w:p>
        </w:tc>
        <w:tc>
          <w:tcPr>
            <w:tcW w:w="802" w:type="pct"/>
            <w:vAlign w:val="center"/>
          </w:tcPr>
          <w:p w14:paraId="4F062959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實施前後業者總票箱收入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3A6D1B2A" w14:textId="5619B0CD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>
              <w:t>票證資料</w:t>
            </w:r>
          </w:p>
        </w:tc>
        <w:tc>
          <w:tcPr>
            <w:tcW w:w="543" w:type="pct"/>
            <w:shd w:val="clear" w:color="auto" w:fill="auto"/>
            <w:vAlign w:val="center"/>
          </w:tcPr>
          <w:p w14:paraId="06B80050" w14:textId="77777777" w:rsidR="00C40B37" w:rsidRPr="00025A8A" w:rsidRDefault="00C40B37" w:rsidP="00C40B37">
            <w:pPr>
              <w:pStyle w:val="aa"/>
              <w:snapToGrid w:val="0"/>
              <w:spacing w:line="240" w:lineRule="auto"/>
            </w:pPr>
            <w:r w:rsidRPr="00025A8A">
              <w:t>分運具</w:t>
            </w:r>
          </w:p>
        </w:tc>
      </w:tr>
    </w:tbl>
    <w:p w14:paraId="15420A12" w14:textId="77777777" w:rsidR="00245229" w:rsidRPr="001C048D" w:rsidRDefault="00245229" w:rsidP="001C048D"/>
    <w:sectPr w:rsidR="00245229" w:rsidRPr="001C048D" w:rsidSect="00245229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44F4E" w14:textId="77777777" w:rsidR="00245229" w:rsidRDefault="00245229" w:rsidP="00245229">
      <w:pPr>
        <w:spacing w:before="0" w:after="0" w:line="240" w:lineRule="auto"/>
      </w:pPr>
      <w:r>
        <w:separator/>
      </w:r>
    </w:p>
  </w:endnote>
  <w:endnote w:type="continuationSeparator" w:id="0">
    <w:p w14:paraId="2958E99C" w14:textId="77777777" w:rsidR="00245229" w:rsidRDefault="00245229" w:rsidP="002452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93C8E" w14:textId="77777777" w:rsidR="00245229" w:rsidRDefault="00245229" w:rsidP="00245229">
      <w:pPr>
        <w:spacing w:before="0" w:after="0" w:line="240" w:lineRule="auto"/>
      </w:pPr>
      <w:r>
        <w:separator/>
      </w:r>
    </w:p>
  </w:footnote>
  <w:footnote w:type="continuationSeparator" w:id="0">
    <w:p w14:paraId="400DD85D" w14:textId="77777777" w:rsidR="00245229" w:rsidRDefault="00245229" w:rsidP="0024522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D25C9"/>
    <w:multiLevelType w:val="hybridMultilevel"/>
    <w:tmpl w:val="7B1415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754C58"/>
    <w:multiLevelType w:val="hybridMultilevel"/>
    <w:tmpl w:val="0CBE37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240885"/>
    <w:multiLevelType w:val="hybridMultilevel"/>
    <w:tmpl w:val="19A41C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8B6B60"/>
    <w:multiLevelType w:val="hybridMultilevel"/>
    <w:tmpl w:val="26D8A5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435CBB"/>
    <w:multiLevelType w:val="hybridMultilevel"/>
    <w:tmpl w:val="5D0AC2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4B"/>
    <w:rsid w:val="0004086E"/>
    <w:rsid w:val="0011582F"/>
    <w:rsid w:val="001C048D"/>
    <w:rsid w:val="00245229"/>
    <w:rsid w:val="002E17D5"/>
    <w:rsid w:val="004F3695"/>
    <w:rsid w:val="00651FA5"/>
    <w:rsid w:val="00682481"/>
    <w:rsid w:val="009A369C"/>
    <w:rsid w:val="009F48A5"/>
    <w:rsid w:val="00A925AA"/>
    <w:rsid w:val="00B84CBC"/>
    <w:rsid w:val="00BE734B"/>
    <w:rsid w:val="00C319E2"/>
    <w:rsid w:val="00C40B37"/>
    <w:rsid w:val="00DE1B25"/>
    <w:rsid w:val="00F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78983"/>
  <w15:chartTrackingRefBased/>
  <w15:docId w15:val="{B6BF3A4B-930D-4297-9B8C-656FA4D2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5229"/>
    <w:pPr>
      <w:adjustRightInd w:val="0"/>
      <w:spacing w:before="60" w:after="60" w:line="400" w:lineRule="atLeast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22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2452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522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245229"/>
    <w:rPr>
      <w:sz w:val="20"/>
      <w:szCs w:val="20"/>
    </w:rPr>
  </w:style>
  <w:style w:type="paragraph" w:customStyle="1" w:styleId="a7">
    <w:name w:val="表標"/>
    <w:basedOn w:val="a"/>
    <w:link w:val="a8"/>
    <w:qFormat/>
    <w:rsid w:val="00245229"/>
    <w:pPr>
      <w:keepNext/>
      <w:widowControl w:val="0"/>
      <w:adjustRightInd/>
      <w:snapToGrid w:val="0"/>
      <w:spacing w:beforeLines="50" w:before="50" w:afterLines="50" w:after="50" w:line="240" w:lineRule="auto"/>
      <w:jc w:val="center"/>
      <w:textAlignment w:val="auto"/>
    </w:pPr>
    <w:rPr>
      <w:kern w:val="2"/>
      <w:sz w:val="26"/>
      <w:szCs w:val="24"/>
    </w:rPr>
  </w:style>
  <w:style w:type="character" w:customStyle="1" w:styleId="a8">
    <w:name w:val="表標 字元"/>
    <w:basedOn w:val="a0"/>
    <w:link w:val="a7"/>
    <w:rsid w:val="00245229"/>
    <w:rPr>
      <w:rFonts w:ascii="Times New Roman" w:eastAsia="標楷體" w:hAnsi="Times New Roman" w:cs="Times New Roman"/>
      <w:sz w:val="26"/>
      <w:szCs w:val="24"/>
    </w:rPr>
  </w:style>
  <w:style w:type="table" w:styleId="a9">
    <w:name w:val="Table Grid"/>
    <w:aliases w:val="表格細,表格格線2,功能需求表格,_,地稅專用表格,標準表格格線,(圖專用),A,A1,A2,A3"/>
    <w:basedOn w:val="a1"/>
    <w:uiPriority w:val="39"/>
    <w:qFormat/>
    <w:rsid w:val="00245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(內)文字"/>
    <w:basedOn w:val="a"/>
    <w:link w:val="ab"/>
    <w:qFormat/>
    <w:rsid w:val="00245229"/>
    <w:pPr>
      <w:spacing w:before="0" w:after="0" w:line="400" w:lineRule="exact"/>
      <w:jc w:val="center"/>
    </w:pPr>
    <w:rPr>
      <w:rFonts w:asciiTheme="minorHAnsi" w:hAnsiTheme="minorHAnsi" w:cstheme="minorBidi"/>
      <w:color w:val="000000" w:themeColor="text1"/>
      <w:kern w:val="2"/>
      <w:sz w:val="24"/>
      <w:szCs w:val="24"/>
    </w:rPr>
  </w:style>
  <w:style w:type="character" w:customStyle="1" w:styleId="ab">
    <w:name w:val="表(內)文字 字元"/>
    <w:basedOn w:val="a0"/>
    <w:link w:val="aa"/>
    <w:rsid w:val="00245229"/>
    <w:rPr>
      <w:rFonts w:eastAsia="標楷體"/>
      <w:color w:val="000000" w:themeColor="text1"/>
      <w:szCs w:val="24"/>
    </w:rPr>
  </w:style>
  <w:style w:type="paragraph" w:customStyle="1" w:styleId="ac">
    <w:name w:val="文章內文"/>
    <w:basedOn w:val="ad"/>
    <w:link w:val="ae"/>
    <w:autoRedefine/>
    <w:qFormat/>
    <w:rsid w:val="00DE1B25"/>
    <w:pPr>
      <w:widowControl w:val="0"/>
      <w:adjustRightInd/>
      <w:spacing w:beforeLines="40" w:before="96" w:afterLines="40" w:after="96" w:line="440" w:lineRule="exact"/>
      <w:ind w:leftChars="0" w:left="0" w:firstLineChars="200" w:firstLine="520"/>
      <w:textAlignment w:val="auto"/>
    </w:pPr>
    <w:rPr>
      <w:kern w:val="2"/>
      <w:sz w:val="26"/>
      <w:szCs w:val="28"/>
    </w:rPr>
  </w:style>
  <w:style w:type="character" w:customStyle="1" w:styleId="ae">
    <w:name w:val="文章內文 字元"/>
    <w:basedOn w:val="a0"/>
    <w:link w:val="ac"/>
    <w:rsid w:val="00DE1B25"/>
    <w:rPr>
      <w:rFonts w:ascii="Times New Roman" w:eastAsia="標楷體" w:hAnsi="Times New Roman" w:cs="Times New Roman"/>
      <w:sz w:val="26"/>
      <w:szCs w:val="28"/>
    </w:rPr>
  </w:style>
  <w:style w:type="paragraph" w:styleId="ad">
    <w:name w:val="List Paragraph"/>
    <w:aliases w:val="教育部說明文字,(1)(1)(1)(1)(1)(1)(1)(1),lp1,FooterText,numbered,Paragraphe de liste1,卑南壹"/>
    <w:basedOn w:val="a"/>
    <w:link w:val="af"/>
    <w:qFormat/>
    <w:rsid w:val="00DE1B25"/>
    <w:pPr>
      <w:ind w:leftChars="200" w:left="480"/>
    </w:pPr>
  </w:style>
  <w:style w:type="character" w:customStyle="1" w:styleId="af">
    <w:name w:val="清單段落 字元"/>
    <w:aliases w:val="教育部說明文字 字元,(1)(1)(1)(1)(1)(1)(1)(1) 字元,lp1 字元,FooterText 字元,numbered 字元,Paragraphe de liste1 字元,卑南壹 字元"/>
    <w:basedOn w:val="a0"/>
    <w:link w:val="ad"/>
    <w:rsid w:val="00DE1B25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f0">
    <w:name w:val="圖標"/>
    <w:basedOn w:val="a"/>
    <w:link w:val="af1"/>
    <w:qFormat/>
    <w:rsid w:val="00FC3D89"/>
    <w:pPr>
      <w:widowControl w:val="0"/>
      <w:adjustRightInd/>
      <w:snapToGrid w:val="0"/>
      <w:spacing w:before="0" w:after="0" w:line="240" w:lineRule="auto"/>
      <w:jc w:val="center"/>
      <w:textAlignment w:val="auto"/>
    </w:pPr>
    <w:rPr>
      <w:kern w:val="2"/>
      <w:sz w:val="26"/>
      <w:szCs w:val="22"/>
    </w:rPr>
  </w:style>
  <w:style w:type="character" w:customStyle="1" w:styleId="af1">
    <w:name w:val="圖標 字元"/>
    <w:basedOn w:val="a0"/>
    <w:link w:val="af0"/>
    <w:rsid w:val="00FC3D89"/>
    <w:rPr>
      <w:rFonts w:ascii="Times New Roman" w:eastAsia="標楷體" w:hAnsi="Times New Roman" w:cs="Times New Roman"/>
      <w:sz w:val="26"/>
    </w:rPr>
  </w:style>
  <w:style w:type="paragraph" w:styleId="af2">
    <w:name w:val="Balloon Text"/>
    <w:basedOn w:val="a"/>
    <w:link w:val="af3"/>
    <w:uiPriority w:val="99"/>
    <w:semiHidden/>
    <w:unhideWhenUsed/>
    <w:rsid w:val="0004086E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04086E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朱志宣</dc:creator>
  <cp:keywords/>
  <dc:description/>
  <cp:lastModifiedBy>朱志宣</cp:lastModifiedBy>
  <cp:revision>3</cp:revision>
  <cp:lastPrinted>2025-05-13T08:34:00Z</cp:lastPrinted>
  <dcterms:created xsi:type="dcterms:W3CDTF">2025-05-14T08:18:00Z</dcterms:created>
  <dcterms:modified xsi:type="dcterms:W3CDTF">2025-05-14T08:19:00Z</dcterms:modified>
</cp:coreProperties>
</file>