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B5E8A"/>
          <w:sz w:val="72"/>
          <w:szCs w:val="72"/>
        </w:rPr>
        <w:t xml:space="preserve">UNMAPPED</w:t>
      </w:r>
    </w:p>
    <w:p>
      <w:pPr>
        <w:spacing w:after="60" w:before="0"/>
      </w:pPr>
      <w:r>
        <w:rPr>
          <w:rFonts w:ascii="Arial" w:cs="Arial" w:eastAsia="Arial" w:hAnsi="Arial"/>
          <w:i/>
          <w:iCs/>
          <w:color w:val="0D2D4A"/>
          <w:sz w:val="28"/>
          <w:szCs w:val="28"/>
        </w:rPr>
        <w:t xml:space="preserve">Research Brief: Skills, Jobs &amp; AI Exposure in Nigeria and Sub-Saharan Africa</w:t>
      </w:r>
    </w:p>
    <w:p>
      <w:pPr>
        <w:pBdr>
          <w:bottom w:val="single" w:color="F7A800" w:sz="12" w:space="4"/>
        </w:pBdr>
        <w:spacing w:after="240" w:before="0"/>
      </w:pPr>
      <w:r>
        <w:rPr>
          <w:rFonts w:ascii="Arial" w:cs="Arial" w:eastAsia="Arial" w:hAnsi="Arial"/>
          <w:color w:val="888888"/>
          <w:sz w:val="18"/>
          <w:szCs w:val="18"/>
        </w:rPr>
        <w:t xml:space="preserve">Hack-Nation × World Bank Youth Summit · Global AI Hackathon 2026 ·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8A" w:sz="8" w:space="0"/>
              <w:left w:val="none" w:color="FFFFFF" w:sz="0"/>
              <w:bottom w:val="none" w:color="FFFFFF" w:sz="0"/>
              <w:right w:val="none" w:color="FFFFFF" w:sz="0"/>
            </w:tcBorders>
            <w:shd w:fill="E8F1F7" w:val="clear"/>
            <w:tcMar>
              <w:top w:type="dxa" w:w="160"/>
              <w:left w:type="dxa" w:w="200"/>
              <w:bottom w:type="dxa" w:w="160"/>
              <w:right w:type="dxa" w:w="200"/>
            </w:tcMar>
          </w:tcPr>
          <w:p>
            <w:pPr>
              <w:spacing w:after="80" w:before="0"/>
            </w:pPr>
            <w:r>
              <w:rPr>
                <w:rFonts w:ascii="Arial" w:cs="Arial" w:eastAsia="Arial" w:hAnsi="Arial"/>
                <w:b/>
                <w:bCs/>
                <w:caps/>
                <w:color w:val="1B5E8A"/>
                <w:sz w:val="20"/>
                <w:szCs w:val="20"/>
              </w:rPr>
              <w:t xml:space="preserve">Abstract</w:t>
            </w:r>
          </w:p>
          <w:p>
            <w:pPr>
              <w:spacing w:after="0" w:line="276"/>
              <w:jc w:val="both"/>
            </w:pPr>
            <w:r>
              <w:rPr>
                <w:rFonts w:ascii="Arial" w:cs="Arial" w:eastAsia="Arial" w:hAnsi="Arial"/>
                <w:color w:val="333333"/>
                <w:sz w:val="21"/>
                <w:szCs w:val="21"/>
              </w:rPr>
              <w:t xml:space="preserve">Nigeria's labour market is shaped by dominant informality, rising demand for digital and analytical skills, and increasing exposure to generative AI in clerical and administrative work. Evidence from the World Economic Forum, the International Labour Organization, the World Bank, and Nigerian labour-market reporting shows that skill gaps, informality, and occupational transformation are central constraints on employment quality and mobility. This brief argues that a skills-to-jobs platform for Nigeria and Sub-Saharan Africa should not rely on formal vacancy data alone, but instead model occupational adjacency, informal work pathways, and AI exposure risk in a unified matching layer.</w:t>
            </w:r>
          </w:p>
        </w:tc>
      </w:tr>
    </w:tbl>
    <w:p>
      <w:pPr>
        <w:spacing w:after="0" w:before="240"/>
      </w:pPr>
      <w:r>
        <w:t xml:space="preserve"/>
      </w:r>
    </w:p>
    <w:p>
      <w:pPr>
        <w:pStyle w:val="Heading1"/>
        <w:pBdr>
          <w:bottom w:val="single" w:color="1B5E8A" w:sz="6" w:space="4"/>
        </w:pBdr>
        <w:spacing w:after="120" w:before="360"/>
      </w:pPr>
      <w:r>
        <w:rPr>
          <w:rFonts w:ascii="Arial" w:cs="Arial" w:eastAsia="Arial" w:hAnsi="Arial"/>
          <w:b/>
          <w:bCs/>
          <w:color w:val="0D2D4A"/>
          <w:sz w:val="28"/>
          <w:szCs w:val="28"/>
        </w:rPr>
        <w:t xml:space="preserve">1. Introduction</w:t>
      </w:r>
    </w:p>
    <w:p>
      <w:pPr>
        <w:spacing w:after="120" w:before="80" w:line="276"/>
        <w:jc w:val="both"/>
      </w:pPr>
      <w:r>
        <w:rPr>
          <w:rFonts w:ascii="Arial" w:cs="Arial" w:eastAsia="Arial" w:hAnsi="Arial"/>
          <w:color w:val="1A1A1A"/>
          <w:sz w:val="22"/>
          <w:szCs w:val="22"/>
        </w:rPr>
        <w:t xml:space="preserve">Nigeria's employment challenge is not only about the number of jobs available, but also about the quality, structure, and accessibility of those jobs. Informal employment remains dominant, meaning most workers are outside standard employer-based pipelines and do not appear in conventional vacancy databases.</w:t>
      </w:r>
    </w:p>
    <w:p>
      <w:pPr>
        <w:spacing w:after="0" w:before="80"/>
      </w:pPr>
      <w:r>
        <w:t xml:space="preserve"/>
      </w:r>
    </w:p>
    <w:p>
      <w:pPr>
        <w:spacing w:after="120" w:before="80" w:line="276"/>
        <w:jc w:val="both"/>
      </w:pPr>
      <w:r>
        <w:rPr>
          <w:rFonts w:ascii="Arial" w:cs="Arial" w:eastAsia="Arial" w:hAnsi="Arial"/>
          <w:color w:val="1A1A1A"/>
          <w:sz w:val="22"/>
          <w:szCs w:val="22"/>
        </w:rPr>
        <w:t xml:space="preserve">At the same time, employers in Nigeria report growing demand for network and cybersecurity, AI and big data, and systems-thinking skills — suggesting that the future labour market will be increasingly shaped by digital capability. This creates a core design problem for skills-matching platforms: a user's current work, especially in informal or survivalist occupations, may not map neatly to formal job titles.</w:t>
      </w:r>
    </w:p>
    <w:p>
      <w:pPr>
        <w:spacing w:after="0" w:before="80"/>
      </w:pPr>
      <w:r>
        <w:t xml:space="preserve"/>
      </w:r>
    </w:p>
    <w:p>
      <w:pPr>
        <w:spacing w:after="120" w:before="80" w:line="276"/>
        <w:jc w:val="both"/>
      </w:pPr>
      <w:r>
        <w:rPr>
          <w:rFonts w:ascii="Arial" w:cs="Arial" w:eastAsia="Arial" w:hAnsi="Arial"/>
          <w:color w:val="1A1A1A"/>
          <w:sz w:val="22"/>
          <w:szCs w:val="22"/>
        </w:rPr>
        <w:t xml:space="preserve">A useful platform therefore needs to identify both direct matches and nearby pathways into better-paid or more stable work — combining formal employer signals with informal sector realities and forward-looking AI exposure data.</w:t>
      </w:r>
    </w:p>
    <w:p>
      <w:pPr>
        <w:spacing w:after="0" w:before="160"/>
      </w:pPr>
      <w:r>
        <w:t xml:space="preserve"/>
      </w:r>
    </w:p>
    <w:p>
      <w:pPr>
        <w:pStyle w:val="Heading1"/>
        <w:pBdr>
          <w:bottom w:val="single" w:color="1B5E8A" w:sz="6" w:space="4"/>
        </w:pBdr>
        <w:spacing w:after="120" w:before="360"/>
      </w:pPr>
      <w:r>
        <w:rPr>
          <w:rFonts w:ascii="Arial" w:cs="Arial" w:eastAsia="Arial" w:hAnsi="Arial"/>
          <w:b/>
          <w:bCs/>
          <w:color w:val="0D2D4A"/>
          <w:sz w:val="28"/>
          <w:szCs w:val="28"/>
        </w:rPr>
        <w:t xml:space="preserve">2. Labour Market Structure</w:t>
      </w:r>
    </w:p>
    <w:p>
      <w:pPr>
        <w:spacing w:after="120" w:before="80" w:line="276"/>
        <w:jc w:val="both"/>
      </w:pPr>
      <w:r>
        <w:rPr>
          <w:rFonts w:ascii="Arial" w:cs="Arial" w:eastAsia="Arial" w:hAnsi="Arial"/>
          <w:color w:val="1A1A1A"/>
          <w:sz w:val="22"/>
          <w:szCs w:val="22"/>
        </w:rPr>
        <w:t xml:space="preserve">The Nigerian labour market is defined by its informality. In Q2 2024, informal employment stood at 93.0% of total employment (NBS, 2024). The World Bank has noted that only approximately 15% of employed Nigerians are wage earners. This means the majority of workers operate in self-employment, micro-businesses, or informal services rather than formal payroll roles.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2E75B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KEY STAT</w:t>
            </w:r>
          </w:p>
        </w:tc>
        <w:tc>
          <w:tcPr>
            <w:tcW w:type="dxa" w:w="8960"/>
            <w:tcBorders>
              <w:top w:val="single" w:color="BBCCDD" w:sz="1"/>
              <w:left w:val="none" w:color="FFFFFF" w:sz="0"/>
              <w:bottom w:val="single" w:color="BBCCDD" w:sz="1"/>
              <w:right w:val="single" w:color="BBCCDD" w:sz="1"/>
            </w:tcBorders>
            <w:shd w:fill="E8F1F7" w:val="clear"/>
            <w:tcMar>
              <w:top w:type="dxa" w:w="120"/>
              <w:left w:type="dxa" w:w="160"/>
              <w:bottom w:type="dxa" w:w="120"/>
              <w:right w:type="dxa" w:w="120"/>
            </w:tcMar>
          </w:tcPr>
          <w:p>
            <w:pPr>
              <w:spacing w:line="260"/>
            </w:pPr>
            <w:r>
              <w:rPr>
                <w:rFonts w:ascii="Arial" w:cs="Arial" w:eastAsia="Arial" w:hAnsi="Arial"/>
                <w:i w:val="false"/>
                <w:iCs w:val="false"/>
                <w:color w:val="0D2D4A"/>
                <w:sz w:val="21"/>
                <w:szCs w:val="21"/>
              </w:rPr>
              <w:t xml:space="preserve">92.7% of the Nigerian labour force engaged in informal employment as of 2024 — NBS Labour Force Survey. Only 7.3% hold formal employment.</w:t>
            </w:r>
          </w:p>
        </w:tc>
      </w:tr>
    </w:tbl>
    <w:p>
      <w:pPr>
        <w:spacing w:after="0" w:before="100"/>
      </w:pPr>
      <w:r>
        <w:t xml:space="preserve"/>
      </w:r>
    </w:p>
    <w:p>
      <w:pPr>
        <w:spacing w:after="120" w:before="80" w:line="276"/>
        <w:jc w:val="both"/>
      </w:pPr>
      <w:r>
        <w:rPr>
          <w:rFonts w:ascii="Arial" w:cs="Arial" w:eastAsia="Arial" w:hAnsi="Arial"/>
          <w:color w:val="1A1A1A"/>
          <w:sz w:val="22"/>
          <w:szCs w:val="22"/>
        </w:rPr>
        <w:t xml:space="preserve">This structure matters because vacancy data alone captures only a narrow slice of real labour demand. The people most likely to use a skills platform are working in trade, transport, repair, food services, domestic work, or micro-enterprise — not applying for office jobs. A platform that ignores this reality will systematically miss the labour market that most users actually inhabit.</w:t>
      </w:r>
    </w:p>
    <w:p>
      <w:pPr>
        <w:spacing w:after="0" w:before="80"/>
      </w:pPr>
      <w:r>
        <w:t xml:space="preserve"/>
      </w:r>
    </w:p>
    <w:p>
      <w:pPr>
        <w:spacing w:after="120" w:before="80" w:line="276"/>
        <w:jc w:val="both"/>
      </w:pPr>
      <w:r>
        <w:rPr>
          <w:rFonts w:ascii="Arial" w:cs="Arial" w:eastAsia="Arial" w:hAnsi="Arial"/>
          <w:color w:val="1A1A1A"/>
          <w:sz w:val="22"/>
          <w:szCs w:val="22"/>
        </w:rPr>
        <w:t xml:space="preserve">Nigeria's formal job sector has been shrinking over the past decade. The NESG estimates that Nigeria must create 27.3 million jobs by 2030 just to maintain an unemployment rate of 4.3%, with key sectors for growth identified as manufacturing, ICT, and construction. Despite some positive momentum — over 670,000 net jobs were added across the first three quarters of 2024 — this falls significantly short of absorbing the 4+ million young Nigerians entering the labour market annually.</w:t>
      </w:r>
    </w:p>
    <w:p>
      <w:pPr>
        <w:spacing w:after="0" w:before="160"/>
      </w:pPr>
      <w:r>
        <w:t xml:space="preserve"/>
      </w:r>
    </w:p>
    <w:p>
      <w:pPr>
        <w:pStyle w:val="Heading1"/>
        <w:pBdr>
          <w:bottom w:val="single" w:color="1B5E8A" w:sz="6" w:space="4"/>
        </w:pBdr>
        <w:spacing w:after="120" w:before="360"/>
      </w:pPr>
      <w:r>
        <w:rPr>
          <w:rFonts w:ascii="Arial" w:cs="Arial" w:eastAsia="Arial" w:hAnsi="Arial"/>
          <w:b/>
          <w:bCs/>
          <w:color w:val="0D2D4A"/>
          <w:sz w:val="28"/>
          <w:szCs w:val="28"/>
        </w:rPr>
        <w:t xml:space="preserve">3. Demand for Skills</w:t>
      </w:r>
    </w:p>
    <w:p>
      <w:pPr>
        <w:spacing w:after="120" w:before="80" w:line="276"/>
        <w:jc w:val="both"/>
      </w:pPr>
      <w:r>
        <w:rPr>
          <w:rFonts w:ascii="Arial" w:cs="Arial" w:eastAsia="Arial" w:hAnsi="Arial"/>
          <w:color w:val="1A1A1A"/>
          <w:sz w:val="22"/>
          <w:szCs w:val="22"/>
        </w:rPr>
        <w:t xml:space="preserve">The WEF Future of Jobs 2025 report provides the most comprehensive employer-side signal for Nigeria. The following table summarises the key findings for Nigeria and the broader Sub-Saharan Africa region.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B5E8A" w:val="clear"/>
            <w:tcMar>
              <w:top w:type="dxa" w:w="80"/>
              <w:left w:type="dxa" w:w="120"/>
              <w:bottom w:type="dxa" w:w="80"/>
              <w:right w:type="dxa" w:w="80"/>
            </w:tcMar>
          </w:tcPr>
          <w:p>
            <w:r>
              <w:rPr>
                <w:rFonts w:ascii="Arial" w:cs="Arial" w:eastAsia="Arial" w:hAnsi="Arial"/>
                <w:b/>
                <w:bCs/>
                <w:color w:val="FFFFFF"/>
                <w:sz w:val="20"/>
                <w:szCs w:val="20"/>
              </w:rPr>
              <w:t xml:space="preserve">Skill Category</w:t>
            </w:r>
          </w:p>
        </w:tc>
        <w:tc>
          <w:tcPr>
            <w:tcW w:type="dxa" w:w="3280"/>
            <w:tcBorders>
              <w:top w:val="single" w:color="CCCCCC" w:sz="1"/>
              <w:left w:val="single" w:color="CCCCCC" w:sz="1"/>
              <w:bottom w:val="single" w:color="CCCCCC" w:sz="1"/>
              <w:right w:val="single" w:color="CCCCCC" w:sz="1"/>
            </w:tcBorders>
            <w:shd w:fill="1B5E8A" w:val="clear"/>
            <w:tcMar>
              <w:top w:type="dxa" w:w="80"/>
              <w:left w:type="dxa" w:w="120"/>
              <w:bottom w:type="dxa" w:w="80"/>
              <w:right w:type="dxa" w:w="80"/>
            </w:tcMar>
          </w:tcPr>
          <w:p>
            <w:r>
              <w:rPr>
                <w:rFonts w:ascii="Arial" w:cs="Arial" w:eastAsia="Arial" w:hAnsi="Arial"/>
                <w:b/>
                <w:bCs/>
                <w:color w:val="FFFFFF"/>
                <w:sz w:val="20"/>
                <w:szCs w:val="20"/>
              </w:rPr>
              <w:t xml:space="preserve">Nigeria Priority (WEF 2025)</w:t>
            </w:r>
          </w:p>
        </w:tc>
        <w:tc>
          <w:tcPr>
            <w:tcW w:type="dxa" w:w="3280"/>
            <w:tcBorders>
              <w:top w:val="single" w:color="CCCCCC" w:sz="1"/>
              <w:left w:val="single" w:color="CCCCCC" w:sz="1"/>
              <w:bottom w:val="single" w:color="CCCCCC" w:sz="1"/>
              <w:right w:val="single" w:color="CCCCCC" w:sz="1"/>
            </w:tcBorders>
            <w:shd w:fill="1B5E8A" w:val="clear"/>
            <w:tcMar>
              <w:top w:type="dxa" w:w="80"/>
              <w:left w:type="dxa" w:w="120"/>
              <w:bottom w:type="dxa" w:w="80"/>
              <w:right w:type="dxa" w:w="80"/>
            </w:tcMar>
          </w:tcPr>
          <w:p>
            <w:r>
              <w:rPr>
                <w:rFonts w:ascii="Arial" w:cs="Arial" w:eastAsia="Arial" w:hAnsi="Arial"/>
                <w:b/>
                <w:bCs/>
                <w:color w:val="FFFFFF"/>
                <w:sz w:val="20"/>
                <w:szCs w:val="20"/>
              </w:rPr>
              <w:t xml:space="preserve">SSA-Wide Signal</w:t>
            </w:r>
          </w:p>
        </w:tc>
      </w:tr>
      <w:tr>
        <w:trPr>
          <w:tblHeader w:val="false"/>
        </w:trPr>
        <w:tc>
          <w:tcPr>
            <w:tcW w:type="dxa" w:w="2800"/>
            <w:tcBorders>
              <w:top w:val="single" w:color="CCCCCC" w:sz="1"/>
              <w:left w:val="single" w:color="CCCCCC" w:sz="1"/>
              <w:bottom w:val="single" w:color="CCCCCC" w:sz="1"/>
              <w:right w:val="single" w:color="CCCCCC" w:sz="1"/>
            </w:tcBorders>
            <w:shd w:fill="E8F1F7" w:val="clear"/>
            <w:tcMar>
              <w:top w:type="dxa" w:w="80"/>
              <w:left w:type="dxa" w:w="120"/>
              <w:bottom w:type="dxa" w:w="80"/>
              <w:right w:type="dxa" w:w="80"/>
            </w:tcMar>
          </w:tcPr>
          <w:p>
            <w:r>
              <w:rPr>
                <w:rFonts w:ascii="Arial" w:cs="Arial" w:eastAsia="Arial" w:hAnsi="Arial"/>
                <w:b w:val="false"/>
                <w:bCs w:val="false"/>
                <w:color w:val="0D2D4A"/>
                <w:sz w:val="20"/>
                <w:szCs w:val="20"/>
              </w:rPr>
              <w:t xml:space="preserve">Network &amp; Cybersecurity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1A"/>
                <w:sz w:val="20"/>
                <w:szCs w:val="20"/>
              </w:rPr>
              <w:t xml:space="preserve">87% of employers expect increased need by 2030 — highest of any skill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1A"/>
                <w:sz w:val="20"/>
                <w:szCs w:val="20"/>
              </w:rPr>
              <w:t xml:space="preserve">Rising rapidly; BPO sector expansion driving demand</w:t>
            </w:r>
          </w:p>
        </w:tc>
      </w:tr>
      <w:tr>
        <w:trPr>
          <w:tblHeader w:val="false"/>
        </w:trPr>
        <w:tc>
          <w:tcPr>
            <w:tcW w:type="dxa" w:w="2800"/>
            <w:tcBorders>
              <w:top w:val="single" w:color="CCCCCC" w:sz="1"/>
              <w:left w:val="single" w:color="CCCCCC" w:sz="1"/>
              <w:bottom w:val="single" w:color="CCCCCC" w:sz="1"/>
              <w:right w:val="single" w:color="CCCCCC" w:sz="1"/>
            </w:tcBorders>
            <w:shd w:fill="E8F1F7" w:val="clear"/>
            <w:tcMar>
              <w:top w:type="dxa" w:w="80"/>
              <w:left w:type="dxa" w:w="120"/>
              <w:bottom w:type="dxa" w:w="80"/>
              <w:right w:type="dxa" w:w="80"/>
            </w:tcMar>
          </w:tcPr>
          <w:p>
            <w:r>
              <w:rPr>
                <w:rFonts w:ascii="Arial" w:cs="Arial" w:eastAsia="Arial" w:hAnsi="Arial"/>
                <w:b w:val="false"/>
                <w:bCs w:val="false"/>
                <w:color w:val="0D2D4A"/>
                <w:sz w:val="20"/>
                <w:szCs w:val="20"/>
              </w:rPr>
              <w:t xml:space="preserve">AI &amp; Big Data</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1A"/>
                <w:sz w:val="20"/>
                <w:szCs w:val="20"/>
              </w:rPr>
              <w:t xml:space="preserve">Second-ranked in-demand skill; 28% CAGR projected for AI market 2024–2030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1A"/>
                <w:sz w:val="20"/>
                <w:szCs w:val="20"/>
              </w:rPr>
              <w:t xml:space="preserve">Technological literacy rising fastest across the region</w:t>
            </w:r>
          </w:p>
        </w:tc>
      </w:tr>
      <w:tr>
        <w:trPr>
          <w:tblHeader w:val="false"/>
        </w:trPr>
        <w:tc>
          <w:tcPr>
            <w:tcW w:type="dxa" w:w="2800"/>
            <w:tcBorders>
              <w:top w:val="single" w:color="CCCCCC" w:sz="1"/>
              <w:left w:val="single" w:color="CCCCCC" w:sz="1"/>
              <w:bottom w:val="single" w:color="CCCCCC" w:sz="1"/>
              <w:right w:val="single" w:color="CCCCCC" w:sz="1"/>
            </w:tcBorders>
            <w:shd w:fill="E8F1F7" w:val="clear"/>
            <w:tcMar>
              <w:top w:type="dxa" w:w="80"/>
              <w:left w:type="dxa" w:w="120"/>
              <w:bottom w:type="dxa" w:w="80"/>
              <w:right w:type="dxa" w:w="80"/>
            </w:tcMar>
          </w:tcPr>
          <w:p>
            <w:r>
              <w:rPr>
                <w:rFonts w:ascii="Arial" w:cs="Arial" w:eastAsia="Arial" w:hAnsi="Arial"/>
                <w:b w:val="false"/>
                <w:bCs w:val="false"/>
                <w:color w:val="0D2D4A"/>
                <w:sz w:val="20"/>
                <w:szCs w:val="20"/>
              </w:rPr>
              <w:t xml:space="preserve">Systems Thinking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1A"/>
                <w:sz w:val="20"/>
                <w:szCs w:val="20"/>
              </w:rPr>
              <w:t xml:space="preserve">Third-ranked; linked to engineering and operations roles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1A"/>
                <w:sz w:val="20"/>
                <w:szCs w:val="20"/>
              </w:rPr>
              <w:t xml:space="preserve">Problem-solving, flexibility, creative thinking all rising</w:t>
            </w:r>
          </w:p>
        </w:tc>
      </w:tr>
      <w:tr>
        <w:trPr>
          <w:tblHeader w:val="false"/>
        </w:trPr>
        <w:tc>
          <w:tcPr>
            <w:tcW w:type="dxa" w:w="2800"/>
            <w:tcBorders>
              <w:top w:val="single" w:color="CCCCCC" w:sz="1"/>
              <w:left w:val="single" w:color="CCCCCC" w:sz="1"/>
              <w:bottom w:val="single" w:color="CCCCCC" w:sz="1"/>
              <w:right w:val="single" w:color="CCCCCC" w:sz="1"/>
            </w:tcBorders>
            <w:shd w:fill="E8F1F7" w:val="clear"/>
            <w:tcMar>
              <w:top w:type="dxa" w:w="80"/>
              <w:left w:type="dxa" w:w="120"/>
              <w:bottom w:type="dxa" w:w="80"/>
              <w:right w:type="dxa" w:w="80"/>
            </w:tcMar>
          </w:tcPr>
          <w:p>
            <w:r>
              <w:rPr>
                <w:rFonts w:ascii="Arial" w:cs="Arial" w:eastAsia="Arial" w:hAnsi="Arial"/>
                <w:b w:val="false"/>
                <w:bCs w:val="false"/>
                <w:color w:val="0D2D4A"/>
                <w:sz w:val="20"/>
                <w:szCs w:val="20"/>
              </w:rPr>
              <w:t xml:space="preserve">Digital Literacy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1A"/>
                <w:sz w:val="20"/>
                <w:szCs w:val="20"/>
              </w:rPr>
              <w:t xml:space="preserve">77% of employers cite digital skills as a critical hiring criterion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1A"/>
                <w:sz w:val="20"/>
                <w:szCs w:val="20"/>
              </w:rPr>
              <w:t xml:space="preserve">Now foundational even in non-tech roles</w:t>
            </w:r>
          </w:p>
        </w:tc>
      </w:tr>
      <w:tr>
        <w:trPr>
          <w:tblHeader w:val="false"/>
        </w:trPr>
        <w:tc>
          <w:tcPr>
            <w:tcW w:type="dxa" w:w="2800"/>
            <w:tcBorders>
              <w:top w:val="single" w:color="CCCCCC" w:sz="1"/>
              <w:left w:val="single" w:color="CCCCCC" w:sz="1"/>
              <w:bottom w:val="single" w:color="CCCCCC" w:sz="1"/>
              <w:right w:val="single" w:color="CCCCCC" w:sz="1"/>
            </w:tcBorders>
            <w:shd w:fill="E8F1F7" w:val="clear"/>
            <w:tcMar>
              <w:top w:type="dxa" w:w="80"/>
              <w:left w:type="dxa" w:w="120"/>
              <w:bottom w:type="dxa" w:w="80"/>
              <w:right w:type="dxa" w:w="80"/>
            </w:tcMar>
          </w:tcPr>
          <w:p>
            <w:r>
              <w:rPr>
                <w:rFonts w:ascii="Arial" w:cs="Arial" w:eastAsia="Arial" w:hAnsi="Arial"/>
                <w:b w:val="false"/>
                <w:bCs w:val="false"/>
                <w:color w:val="0D2D4A"/>
                <w:sz w:val="20"/>
                <w:szCs w:val="20"/>
              </w:rPr>
              <w:t xml:space="preserve">Customer Service / Service Orientation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1A"/>
                <w:sz w:val="20"/>
                <w:szCs w:val="20"/>
              </w:rPr>
              <w:t xml:space="preserve">Above global average demand; tied to BPO and fintech agent growth</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1A"/>
                <w:sz w:val="20"/>
                <w:szCs w:val="20"/>
              </w:rPr>
              <w:t xml:space="preserve">Consistent demand across informal and formal sectors</w:t>
            </w:r>
          </w:p>
        </w:tc>
      </w:tr>
      <w:tr>
        <w:trPr>
          <w:tblHeader w:val="false"/>
        </w:trPr>
        <w:tc>
          <w:tcPr>
            <w:tcW w:type="dxa" w:w="2800"/>
            <w:tcBorders>
              <w:top w:val="single" w:color="CCCCCC" w:sz="1"/>
              <w:left w:val="single" w:color="CCCCCC" w:sz="1"/>
              <w:bottom w:val="single" w:color="CCCCCC" w:sz="1"/>
              <w:right w:val="single" w:color="CCCCCC" w:sz="1"/>
            </w:tcBorders>
            <w:shd w:fill="E8F1F7" w:val="clear"/>
            <w:tcMar>
              <w:top w:type="dxa" w:w="80"/>
              <w:left w:type="dxa" w:w="120"/>
              <w:bottom w:type="dxa" w:w="80"/>
              <w:right w:type="dxa" w:w="80"/>
            </w:tcMar>
          </w:tcPr>
          <w:p>
            <w:r>
              <w:rPr>
                <w:rFonts w:ascii="Arial" w:cs="Arial" w:eastAsia="Arial" w:hAnsi="Arial"/>
                <w:b w:val="false"/>
                <w:bCs w:val="false"/>
                <w:color w:val="0D2D4A"/>
                <w:sz w:val="20"/>
                <w:szCs w:val="20"/>
              </w:rPr>
              <w:t xml:space="preserve">Solar &amp; Energy Tech</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1A"/>
                <w:sz w:val="20"/>
                <w:szCs w:val="20"/>
              </w:rPr>
              <w:t xml:space="preserve">Chronic power shortage creating fast demand for solar mini-grid skills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1A"/>
                <w:sz w:val="20"/>
                <w:szCs w:val="20"/>
              </w:rPr>
              <w:t xml:space="preserve">Relevant across SSA where grid access is limited</w:t>
            </w:r>
          </w:p>
        </w:tc>
      </w:tr>
    </w:tbl>
    <w:p>
      <w:pPr>
        <w:spacing w:after="120" w:before="60"/>
      </w:pPr>
      <w:r>
        <w:rPr>
          <w:rFonts w:ascii="Arial" w:cs="Arial" w:eastAsia="Arial" w:hAnsi="Arial"/>
          <w:i/>
          <w:iCs/>
          <w:color w:val="888888"/>
          <w:sz w:val="18"/>
          <w:szCs w:val="18"/>
        </w:rPr>
        <w:t xml:space="preserve">Source: WEF Future of Jobs Report 2025; Edstellar Nigeria Skills Report 2026; MyJobMag Job Search Report 2025</w:t>
      </w:r>
    </w:p>
    <w:p>
      <w:pPr>
        <w:spacing w:after="0" w:before="80"/>
      </w:pPr>
      <w:r>
        <w:t xml:space="preserve"/>
      </w:r>
    </w:p>
    <w:p>
      <w:pPr>
        <w:spacing w:after="120" w:before="80" w:line="276"/>
        <w:jc w:val="both"/>
      </w:pPr>
      <w:r>
        <w:rPr>
          <w:rFonts w:ascii="Arial" w:cs="Arial" w:eastAsia="Arial" w:hAnsi="Arial"/>
          <w:color w:val="1A1A1A"/>
          <w:sz w:val="22"/>
          <w:szCs w:val="22"/>
        </w:rPr>
        <w:t xml:space="preserve">Importantly, these signals are biased toward formal employers. For informal workers, the most accessible demand signals come from job board data: ICT/Telecommunications, NGOs, Education/Teaching, Banking, and Healthcare/Medical were the top five hiring industries in Nigeria in 2024 by actual vacancies (MyJobMag, 2025). Sales, Finance, and Engineering had the most formal vacancies by volume.</w:t>
      </w:r>
    </w:p>
    <w:p>
      <w:pPr>
        <w:spacing w:after="0" w:before="160"/>
      </w:pPr>
      <w:r>
        <w:t xml:space="preserve"/>
      </w:r>
    </w:p>
    <w:p>
      <w:pPr>
        <w:pStyle w:val="Heading1"/>
        <w:pBdr>
          <w:bottom w:val="single" w:color="1B5E8A" w:sz="6" w:space="4"/>
        </w:pBdr>
        <w:spacing w:after="120" w:before="360"/>
      </w:pPr>
      <w:r>
        <w:rPr>
          <w:rFonts w:ascii="Arial" w:cs="Arial" w:eastAsia="Arial" w:hAnsi="Arial"/>
          <w:b/>
          <w:bCs/>
          <w:color w:val="0D2D4A"/>
          <w:sz w:val="28"/>
          <w:szCs w:val="28"/>
        </w:rPr>
        <w:t xml:space="preserve">4. Informal Employment Pathways</w:t>
      </w:r>
    </w:p>
    <w:p>
      <w:pPr>
        <w:spacing w:after="120" w:before="80" w:line="276"/>
        <w:jc w:val="both"/>
      </w:pPr>
      <w:r>
        <w:rPr>
          <w:rFonts w:ascii="Arial" w:cs="Arial" w:eastAsia="Arial" w:hAnsi="Arial"/>
          <w:color w:val="1A1A1A"/>
          <w:sz w:val="22"/>
          <w:szCs w:val="22"/>
        </w:rPr>
        <w:t xml:space="preserve">The strategic implication of Nigeria's informal dominance is that most workers are not looking for traditional job matches — they need pathways. The current occupation is often a bridge to different work, not a dead-end. The Moniepoint 2025 Informal Economy Report identifies the following as the dominant informal employment clusters:</w:t>
      </w:r>
    </w:p>
    <w:p>
      <w:pPr>
        <w:spacing w:after="0" w:before="80"/>
      </w:pPr>
      <w:r>
        <w:t xml:space="preserve"/>
      </w:r>
    </w:p>
    <w:p>
      <w:pPr>
        <w:pStyle w:val="ListParagraph"/>
        <w:numPr>
          <w:ilvl w:val="0"/>
          <w:numId w:val="2"/>
        </w:numPr>
        <w:spacing w:after="40" w:before="40" w:line="276"/>
      </w:pPr>
      <w:r>
        <w:rPr>
          <w:rFonts w:ascii="Arial" w:cs="Arial" w:eastAsia="Arial" w:hAnsi="Arial"/>
          <w:color w:val="1A1A1A"/>
          <w:sz w:val="22"/>
          <w:szCs w:val="22"/>
        </w:rPr>
        <w:t xml:space="preserve">Trade and retail (market stalls, small shops, WhatsApp commerce)</w:t>
      </w:r>
    </w:p>
    <w:p>
      <w:pPr>
        <w:pStyle w:val="ListParagraph"/>
        <w:numPr>
          <w:ilvl w:val="0"/>
          <w:numId w:val="2"/>
        </w:numPr>
        <w:spacing w:after="40" w:before="40" w:line="276"/>
      </w:pPr>
      <w:r>
        <w:rPr>
          <w:rFonts w:ascii="Arial" w:cs="Arial" w:eastAsia="Arial" w:hAnsi="Arial"/>
          <w:color w:val="1A1A1A"/>
          <w:sz w:val="22"/>
          <w:szCs w:val="22"/>
        </w:rPr>
        <w:t xml:space="preserve">Transport (okada, keke napep, minibus operations, Bolt/OPay rider economy)</w:t>
      </w:r>
    </w:p>
    <w:p>
      <w:pPr>
        <w:pStyle w:val="ListParagraph"/>
        <w:numPr>
          <w:ilvl w:val="0"/>
          <w:numId w:val="2"/>
        </w:numPr>
        <w:spacing w:after="40" w:before="40" w:line="276"/>
      </w:pPr>
      <w:r>
        <w:rPr>
          <w:rFonts w:ascii="Arial" w:cs="Arial" w:eastAsia="Arial" w:hAnsi="Arial"/>
          <w:color w:val="1A1A1A"/>
          <w:sz w:val="22"/>
          <w:szCs w:val="22"/>
        </w:rPr>
        <w:t xml:space="preserve">Repair and technical trades (phone, electronics, appliance, auto mechanics)</w:t>
      </w:r>
    </w:p>
    <w:p>
      <w:pPr>
        <w:pStyle w:val="ListParagraph"/>
        <w:numPr>
          <w:ilvl w:val="0"/>
          <w:numId w:val="2"/>
        </w:numPr>
        <w:spacing w:after="40" w:before="40" w:line="276"/>
      </w:pPr>
      <w:r>
        <w:rPr>
          <w:rFonts w:ascii="Arial" w:cs="Arial" w:eastAsia="Arial" w:hAnsi="Arial"/>
          <w:color w:val="1A1A1A"/>
          <w:sz w:val="22"/>
          <w:szCs w:val="22"/>
        </w:rPr>
        <w:t xml:space="preserve">Food services (street food, chop bars, catering, delivery)</w:t>
      </w:r>
    </w:p>
    <w:p>
      <w:pPr>
        <w:pStyle w:val="ListParagraph"/>
        <w:numPr>
          <w:ilvl w:val="0"/>
          <w:numId w:val="2"/>
        </w:numPr>
        <w:spacing w:after="40" w:before="40" w:line="276"/>
      </w:pPr>
      <w:r>
        <w:rPr>
          <w:rFonts w:ascii="Arial" w:cs="Arial" w:eastAsia="Arial" w:hAnsi="Arial"/>
          <w:color w:val="1A1A1A"/>
          <w:sz w:val="22"/>
          <w:szCs w:val="22"/>
        </w:rPr>
        <w:t xml:space="preserve">Construction and artisanal trades (carpentry, bricklaying, painting, plumbing)</w:t>
      </w:r>
    </w:p>
    <w:p>
      <w:pPr>
        <w:pStyle w:val="ListParagraph"/>
        <w:numPr>
          <w:ilvl w:val="0"/>
          <w:numId w:val="2"/>
        </w:numPr>
        <w:spacing w:after="40" w:before="40" w:line="276"/>
      </w:pPr>
      <w:r>
        <w:rPr>
          <w:rFonts w:ascii="Arial" w:cs="Arial" w:eastAsia="Arial" w:hAnsi="Arial"/>
          <w:color w:val="1A1A1A"/>
          <w:sz w:val="22"/>
          <w:szCs w:val="22"/>
        </w:rPr>
        <w:t xml:space="preserve">Digital micro-services (POS agency work, content creation, affiliate marketing, social commerce)</w:t>
      </w:r>
    </w:p>
    <w:p>
      <w:pPr>
        <w:pStyle w:val="ListParagraph"/>
        <w:numPr>
          <w:ilvl w:val="0"/>
          <w:numId w:val="2"/>
        </w:numPr>
        <w:spacing w:after="40" w:before="40" w:line="276"/>
      </w:pPr>
      <w:r>
        <w:rPr>
          <w:rFonts w:ascii="Arial" w:cs="Arial" w:eastAsia="Arial" w:hAnsi="Arial"/>
          <w:color w:val="1A1A1A"/>
          <w:sz w:val="22"/>
          <w:szCs w:val="22"/>
        </w:rPr>
        <w:t xml:space="preserve">Domestic and care work (cleaning, childcare, security)</w:t>
      </w:r>
    </w:p>
    <w:p>
      <w:pPr>
        <w:spacing w:after="0" w:before="80"/>
      </w:pPr>
      <w:r>
        <w:t xml:space="preserve"/>
      </w:r>
    </w:p>
    <w:p>
      <w:pPr>
        <w:spacing w:after="120" w:before="80" w:line="276"/>
        <w:jc w:val="both"/>
      </w:pPr>
      <w:r>
        <w:rPr>
          <w:rFonts w:ascii="Arial" w:cs="Arial" w:eastAsia="Arial" w:hAnsi="Arial"/>
          <w:color w:val="1A1A1A"/>
          <w:sz w:val="22"/>
          <w:szCs w:val="22"/>
        </w:rPr>
        <w:t xml:space="preserve">The digital industry alone has created over 2.5 million jobs in Nigeria over the last decade (NCC, cited in Jobberman Informal Sector Report 2024). Nigeria's ICT sector contributed approximately 20% of real GDP growth in Q2 2024, outpacing all traditional sectors.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2E75B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ADJACENCY LOGIC</w:t>
            </w:r>
          </w:p>
        </w:tc>
        <w:tc>
          <w:tcPr>
            <w:tcW w:type="dxa" w:w="8960"/>
            <w:tcBorders>
              <w:top w:val="single" w:color="BBCCDD" w:sz="1"/>
              <w:left w:val="none" w:color="FFFFFF" w:sz="0"/>
              <w:bottom w:val="single" w:color="BBCCDD" w:sz="1"/>
              <w:right w:val="single" w:color="BBCCDD" w:sz="1"/>
            </w:tcBorders>
            <w:shd w:fill="E8F1F7" w:val="clear"/>
            <w:tcMar>
              <w:top w:type="dxa" w:w="120"/>
              <w:left w:type="dxa" w:w="160"/>
              <w:bottom w:type="dxa" w:w="120"/>
              <w:right w:type="dxa" w:w="120"/>
            </w:tcMar>
          </w:tcPr>
          <w:p>
            <w:pPr>
              <w:spacing w:line="260"/>
            </w:pPr>
            <w:r>
              <w:rPr>
                <w:rFonts w:ascii="Arial" w:cs="Arial" w:eastAsia="Arial" w:hAnsi="Arial"/>
                <w:i w:val="false"/>
                <w:iCs w:val="false"/>
                <w:color w:val="0D2D4A"/>
                <w:sz w:val="21"/>
                <w:szCs w:val="21"/>
              </w:rPr>
              <w:t xml:space="preserve">Phone repair → solar installation / CCTV / broadband support. Market trading → e-commerce / mobile money agent / logistics coordination. Tailoring → export fashion / creative economy. Transport → gig platforms / logistics management.</w:t>
            </w:r>
          </w:p>
        </w:tc>
      </w:tr>
    </w:tbl>
    <w:p>
      <w:pPr>
        <w:spacing w:after="0" w:before="80"/>
      </w:pPr>
      <w:r>
        <w:t xml:space="preserve"/>
      </w:r>
    </w:p>
    <w:p>
      <w:pPr>
        <w:spacing w:after="120" w:before="80" w:line="276"/>
        <w:jc w:val="both"/>
      </w:pPr>
      <w:r>
        <w:rPr>
          <w:rFonts w:ascii="Arial" w:cs="Arial" w:eastAsia="Arial" w:hAnsi="Arial"/>
          <w:color w:val="1A1A1A"/>
          <w:sz w:val="22"/>
          <w:szCs w:val="22"/>
        </w:rPr>
        <w:t xml:space="preserve">A matching system should surface these adjacency pathways explicitly, ranked by: (a) skill overlap, (b) wage premium in destination sector, and (c) training gap required to make the transition.</w:t>
      </w:r>
    </w:p>
    <w:p>
      <w:pPr>
        <w:spacing w:after="0" w:before="160"/>
      </w:pPr>
      <w:r>
        <w:t xml:space="preserve"/>
      </w:r>
    </w:p>
    <w:p>
      <w:pPr>
        <w:pStyle w:val="Heading1"/>
        <w:pBdr>
          <w:bottom w:val="single" w:color="1B5E8A" w:sz="6" w:space="4"/>
        </w:pBdr>
        <w:spacing w:after="120" w:before="360"/>
      </w:pPr>
      <w:r>
        <w:rPr>
          <w:rFonts w:ascii="Arial" w:cs="Arial" w:eastAsia="Arial" w:hAnsi="Arial"/>
          <w:b/>
          <w:bCs/>
          <w:color w:val="0D2D4A"/>
          <w:sz w:val="28"/>
          <w:szCs w:val="28"/>
        </w:rPr>
        <w:t xml:space="preserve">5. AI Exposure and Occupational Risk</w:t>
      </w:r>
    </w:p>
    <w:p>
      <w:pPr>
        <w:spacing w:after="120" w:before="80" w:line="276"/>
        <w:jc w:val="both"/>
      </w:pPr>
      <w:r>
        <w:rPr>
          <w:rFonts w:ascii="Arial" w:cs="Arial" w:eastAsia="Arial" w:hAnsi="Arial"/>
          <w:color w:val="1A1A1A"/>
          <w:sz w:val="22"/>
          <w:szCs w:val="22"/>
        </w:rPr>
        <w:t xml:space="preserve">The ILO published a revised global GenAI exposure index in May 2025 — the most current authoritative source on this question. The findings are highly relevant to the UNMAPPED design.</w:t>
      </w:r>
    </w:p>
    <w:p>
      <w:pPr>
        <w:spacing w:after="0" w:before="80"/>
      </w:pPr>
      <w:r>
        <w:t xml:space="preserve"/>
      </w:r>
    </w:p>
    <w:p>
      <w:pPr>
        <w:pStyle w:val="Heading2"/>
        <w:spacing w:after="80" w:before="280"/>
      </w:pPr>
      <w:r>
        <w:rPr>
          <w:rFonts w:ascii="Arial" w:cs="Arial" w:eastAsia="Arial" w:hAnsi="Arial"/>
          <w:b/>
          <w:bCs/>
          <w:color w:val="1B5E8A"/>
          <w:sz w:val="24"/>
          <w:szCs w:val="24"/>
        </w:rPr>
        <w:t xml:space="preserve">5.1 Global picture</w:t>
      </w:r>
    </w:p>
    <w:p>
      <w:pPr>
        <w:spacing w:after="120" w:before="80" w:line="276"/>
        <w:jc w:val="both"/>
      </w:pPr>
      <w:r>
        <w:rPr>
          <w:rFonts w:ascii="Arial" w:cs="Arial" w:eastAsia="Arial" w:hAnsi="Arial"/>
          <w:color w:val="1A1A1A"/>
          <w:sz w:val="22"/>
          <w:szCs w:val="22"/>
        </w:rPr>
        <w:t xml:space="preserve">The ILO-NASK 2025 Global Index finds that 25% of global employment falls within occupations potentially exposed to generative AI, with higher shares in high-income countries (34%) and lower shares in low-income countries (approximately 15%). The primary expected effect is transformation of tasks and job descriptions, not mass job loss. A mean automation score of 0.29 is reported across all occupations (down slightly from 0.30 in 2023).</w:t>
      </w:r>
    </w:p>
    <w:p>
      <w:pPr>
        <w:spacing w:after="0" w:before="80"/>
      </w:pPr>
      <w:r>
        <w:t xml:space="preserve"/>
      </w:r>
    </w:p>
    <w:p>
      <w:pPr>
        <w:pStyle w:val="Heading2"/>
        <w:spacing w:after="80" w:before="280"/>
      </w:pPr>
      <w:r>
        <w:rPr>
          <w:rFonts w:ascii="Arial" w:cs="Arial" w:eastAsia="Arial" w:hAnsi="Arial"/>
          <w:b/>
          <w:bCs/>
          <w:color w:val="1B5E8A"/>
          <w:sz w:val="24"/>
          <w:szCs w:val="24"/>
        </w:rPr>
        <w:t xml:space="preserve">5.2 The developing-country paradox</w:t>
      </w:r>
    </w:p>
    <w:p>
      <w:pPr>
        <w:spacing w:after="120" w:before="80" w:line="276"/>
        <w:jc w:val="both"/>
      </w:pPr>
      <w:r>
        <w:rPr>
          <w:rFonts w:ascii="Arial" w:cs="Arial" w:eastAsia="Arial" w:hAnsi="Arial"/>
          <w:color w:val="1A1A1A"/>
          <w:sz w:val="22"/>
          <w:szCs w:val="22"/>
        </w:rPr>
        <w:t xml:space="preserve">For Nigeria and similar contexts, the most important finding is counterintuitive: the jobs at greatest risk are the aspirational ones, not the obvious manual ones. The ILO-World Bank joint paper (2025, background to World Development Report 2026) identifies a 'white-collar bypass' risk: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2E75B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WHITE-COLLAR BYPASS</w:t>
            </w:r>
          </w:p>
        </w:tc>
        <w:tc>
          <w:tcPr>
            <w:tcW w:type="dxa" w:w="8960"/>
            <w:tcBorders>
              <w:top w:val="single" w:color="BBCCDD" w:sz="1"/>
              <w:left w:val="none" w:color="FFFFFF" w:sz="0"/>
              <w:bottom w:val="single" w:color="BBCCDD" w:sz="1"/>
              <w:right w:val="single" w:color="BBCCDD" w:sz="1"/>
            </w:tcBorders>
            <w:shd w:fill="FFF3E0" w:val="clear"/>
            <w:tcMar>
              <w:top w:type="dxa" w:w="120"/>
              <w:left w:type="dxa" w:w="160"/>
              <w:bottom w:type="dxa" w:w="120"/>
              <w:right w:type="dxa" w:w="120"/>
            </w:tcMar>
          </w:tcPr>
          <w:p>
            <w:pPr>
              <w:spacing w:line="260"/>
            </w:pPr>
            <w:r>
              <w:rPr>
                <w:rFonts w:ascii="Arial" w:cs="Arial" w:eastAsia="Arial" w:hAnsi="Arial"/>
                <w:i w:val="false"/>
                <w:iCs w:val="false"/>
                <w:color w:val="0D2D4A"/>
                <w:sz w:val="21"/>
                <w:szCs w:val="21"/>
              </w:rPr>
              <w:t xml:space="preserve">Clerical and administrative roles — data entry, secretarial work, accounting clerks, payroll processing — have historically been the pathway into Nigeria's middle class. GenAI may automate these roles before they can absorb the large numbers of educated workers seeking entry. The ladder may be removed before most people can climb it.</w:t>
            </w:r>
          </w:p>
        </w:tc>
      </w:tr>
    </w:tbl>
    <w:p>
      <w:pPr>
        <w:spacing w:after="0" w:before="80"/>
      </w:pPr>
      <w:r>
        <w:t xml:space="preserve"/>
      </w:r>
    </w:p>
    <w:p>
      <w:pPr>
        <w:spacing w:after="120" w:before="80" w:line="276"/>
        <w:jc w:val="both"/>
      </w:pPr>
      <w:r>
        <w:rPr>
          <w:rFonts w:ascii="Arial" w:cs="Arial" w:eastAsia="Arial" w:hAnsi="Arial"/>
          <w:color w:val="1A1A1A"/>
          <w:sz w:val="22"/>
          <w:szCs w:val="22"/>
        </w:rPr>
        <w:t xml:space="preserve">Workers in these clerical jobs are often already online in low-income settings, meaning displacement could happen relatively quickly once AI tools are cost-accessible. These represent relatively higher-quality jobs in Nigeria's context — the concern is precisely that they are at risk.</w:t>
      </w:r>
    </w:p>
    <w:p>
      <w:pPr>
        <w:spacing w:after="0" w:before="80"/>
      </w:pPr>
      <w:r>
        <w:t xml:space="preserve"/>
      </w:r>
    </w:p>
    <w:p>
      <w:pPr>
        <w:pStyle w:val="Heading2"/>
        <w:spacing w:after="80" w:before="280"/>
      </w:pPr>
      <w:r>
        <w:rPr>
          <w:rFonts w:ascii="Arial" w:cs="Arial" w:eastAsia="Arial" w:hAnsi="Arial"/>
          <w:b/>
          <w:bCs/>
          <w:color w:val="1B5E8A"/>
          <w:sz w:val="24"/>
          <w:szCs w:val="24"/>
        </w:rPr>
        <w:t xml:space="preserve">5.3 What is at lower risk</w:t>
      </w:r>
    </w:p>
    <w:p>
      <w:pPr>
        <w:spacing w:after="120" w:before="80" w:line="276"/>
        <w:jc w:val="both"/>
      </w:pPr>
      <w:r>
        <w:rPr>
          <w:rFonts w:ascii="Arial" w:cs="Arial" w:eastAsia="Arial" w:hAnsi="Arial"/>
          <w:color w:val="1A1A1A"/>
          <w:sz w:val="22"/>
          <w:szCs w:val="22"/>
        </w:rPr>
        <w:t xml:space="preserve">Physical trades requiring dexterity, human-facing care work, and jobs depending on trust, local knowledge, or direct social interaction are less likely to be fully automated in the near term. The ILO 2025 data shows manual and technical workers report much lower expectations of GenAI impact on their roles. This includes:</w:t>
      </w:r>
    </w:p>
    <w:p>
      <w:pPr>
        <w:spacing w:after="0" w:before="40"/>
      </w:pPr>
      <w:r>
        <w:t xml:space="preserve"/>
      </w:r>
    </w:p>
    <w:p>
      <w:pPr>
        <w:pStyle w:val="ListParagraph"/>
        <w:numPr>
          <w:ilvl w:val="0"/>
          <w:numId w:val="2"/>
        </w:numPr>
        <w:spacing w:after="40" w:before="40" w:line="276"/>
      </w:pPr>
      <w:r>
        <w:rPr>
          <w:rFonts w:ascii="Arial" w:cs="Arial" w:eastAsia="Arial" w:hAnsi="Arial"/>
          <w:color w:val="1A1A1A"/>
          <w:sz w:val="22"/>
          <w:szCs w:val="22"/>
        </w:rPr>
        <w:t xml:space="preserve">Tailoring, bricklaying, carpentry, plumbing, electrical work</w:t>
      </w:r>
    </w:p>
    <w:p>
      <w:pPr>
        <w:pStyle w:val="ListParagraph"/>
        <w:numPr>
          <w:ilvl w:val="0"/>
          <w:numId w:val="2"/>
        </w:numPr>
        <w:spacing w:after="40" w:before="40" w:line="276"/>
      </w:pPr>
      <w:r>
        <w:rPr>
          <w:rFonts w:ascii="Arial" w:cs="Arial" w:eastAsia="Arial" w:hAnsi="Arial"/>
          <w:color w:val="1A1A1A"/>
          <w:sz w:val="22"/>
          <w:szCs w:val="22"/>
        </w:rPr>
        <w:t xml:space="preserve">Caregiving, community nursing, social work</w:t>
      </w:r>
    </w:p>
    <w:p>
      <w:pPr>
        <w:pStyle w:val="ListParagraph"/>
        <w:numPr>
          <w:ilvl w:val="0"/>
          <w:numId w:val="2"/>
        </w:numPr>
        <w:spacing w:after="40" w:before="40" w:line="276"/>
      </w:pPr>
      <w:r>
        <w:rPr>
          <w:rFonts w:ascii="Arial" w:cs="Arial" w:eastAsia="Arial" w:hAnsi="Arial"/>
          <w:color w:val="1A1A1A"/>
          <w:sz w:val="22"/>
          <w:szCs w:val="22"/>
        </w:rPr>
        <w:t xml:space="preserve">Teaching (especially practical and vocational)</w:t>
      </w:r>
    </w:p>
    <w:p>
      <w:pPr>
        <w:pStyle w:val="ListParagraph"/>
        <w:numPr>
          <w:ilvl w:val="0"/>
          <w:numId w:val="2"/>
        </w:numPr>
        <w:spacing w:after="40" w:before="40" w:line="276"/>
      </w:pPr>
      <w:r>
        <w:rPr>
          <w:rFonts w:ascii="Arial" w:cs="Arial" w:eastAsia="Arial" w:hAnsi="Arial"/>
          <w:color w:val="1A1A1A"/>
          <w:sz w:val="22"/>
          <w:szCs w:val="22"/>
        </w:rPr>
        <w:t xml:space="preserve">Market-based commerce dependent on trust networks</w:t>
      </w:r>
    </w:p>
    <w:p>
      <w:pPr>
        <w:pStyle w:val="ListParagraph"/>
        <w:numPr>
          <w:ilvl w:val="0"/>
          <w:numId w:val="2"/>
        </w:numPr>
        <w:spacing w:after="40" w:before="40" w:line="276"/>
      </w:pPr>
      <w:r>
        <w:rPr>
          <w:rFonts w:ascii="Arial" w:cs="Arial" w:eastAsia="Arial" w:hAnsi="Arial"/>
          <w:color w:val="1A1A1A"/>
          <w:sz w:val="22"/>
          <w:szCs w:val="22"/>
        </w:rPr>
        <w:t xml:space="preserve">Physical repair trades (phone, electronics, solar)</w:t>
      </w:r>
    </w:p>
    <w:p>
      <w:pPr>
        <w:spacing w:after="0" w:before="80"/>
      </w:pPr>
      <w:r>
        <w:t xml:space="preserve"/>
      </w:r>
    </w:p>
    <w:p>
      <w:pPr>
        <w:spacing w:after="120" w:before="80" w:line="276"/>
        <w:jc w:val="both"/>
      </w:pPr>
      <w:r>
        <w:rPr>
          <w:rFonts w:ascii="Arial" w:cs="Arial" w:eastAsia="Arial" w:hAnsi="Arial"/>
          <w:color w:val="1A1A1A"/>
          <w:sz w:val="22"/>
          <w:szCs w:val="22"/>
        </w:rPr>
        <w:t xml:space="preserve">However, lower exposure does not equal lower risk. In low-income settings, even partial automation can reshape earnings and bargaining power. The platform should identify stable occupations while also pointing users toward adjacent roles where technology acts as augmentation rather than displacement.</w:t>
      </w:r>
    </w:p>
    <w:p>
      <w:pPr>
        <w:spacing w:after="0" w:before="80"/>
      </w:pPr>
      <w:r>
        <w:t xml:space="preserve"/>
      </w:r>
    </w:p>
    <w:p>
      <w:pPr>
        <w:pStyle w:val="Heading2"/>
        <w:spacing w:after="80" w:before="280"/>
      </w:pPr>
      <w:r>
        <w:rPr>
          <w:rFonts w:ascii="Arial" w:cs="Arial" w:eastAsia="Arial" w:hAnsi="Arial"/>
          <w:b/>
          <w:bCs/>
          <w:color w:val="1B5E8A"/>
          <w:sz w:val="24"/>
          <w:szCs w:val="24"/>
        </w:rPr>
        <w:t xml:space="preserve">5.4 Gender dimension</w:t>
      </w:r>
    </w:p>
    <w:p>
      <w:pPr>
        <w:spacing w:after="120" w:before="80" w:line="276"/>
        <w:jc w:val="both"/>
      </w:pPr>
      <w:r>
        <w:rPr>
          <w:rFonts w:ascii="Arial" w:cs="Arial" w:eastAsia="Arial" w:hAnsi="Arial"/>
          <w:color w:val="1A1A1A"/>
          <w:sz w:val="22"/>
          <w:szCs w:val="22"/>
        </w:rPr>
        <w:t xml:space="preserve">The ILO 2025 data confirms a severe gender disparity. Approximately 29% of female-dominated occupations are exposed to GenAI, compared to 16% of male-dominated ones. Women are heavily concentrated in clerical, administrative, and business support roles — exactly the occupations at highest risk. By contrast, men are more represented in construction, manufacturing, and manual trades where tasks are less automatable. This asymmetry must be built into the platform's risk communication.</w:t>
      </w:r>
    </w:p>
    <w:p>
      <w:pPr>
        <w:spacing w:after="0" w:before="160"/>
      </w:pPr>
      <w:r>
        <w:t xml:space="preserve"/>
      </w:r>
    </w:p>
    <w:p>
      <w:pPr>
        <w:pStyle w:val="Heading1"/>
        <w:pBdr>
          <w:bottom w:val="single" w:color="1B5E8A" w:sz="6" w:space="4"/>
        </w:pBdr>
        <w:spacing w:after="120" w:before="360"/>
      </w:pPr>
      <w:r>
        <w:rPr>
          <w:rFonts w:ascii="Arial" w:cs="Arial" w:eastAsia="Arial" w:hAnsi="Arial"/>
          <w:b/>
          <w:bCs/>
          <w:color w:val="0D2D4A"/>
          <w:sz w:val="28"/>
          <w:szCs w:val="28"/>
        </w:rPr>
        <w:t xml:space="preserve">6. Classification and Data Backbone</w:t>
      </w:r>
    </w:p>
    <w:p>
      <w:pPr>
        <w:spacing w:after="120" w:before="80" w:line="276"/>
        <w:jc w:val="both"/>
      </w:pPr>
      <w:r>
        <w:rPr>
          <w:rFonts w:ascii="Arial" w:cs="Arial" w:eastAsia="Arial" w:hAnsi="Arial"/>
          <w:color w:val="1A1A1A"/>
          <w:sz w:val="22"/>
          <w:szCs w:val="22"/>
        </w:rPr>
        <w:t xml:space="preserve">A matching platform needs a stable occupational backbone and a flexible skills layer. The appropriate frameworks for Nigeria are: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5E8A" w:val="clear"/>
            <w:tcMar>
              <w:top w:type="dxa" w:w="80"/>
              <w:left w:type="dxa" w:w="120"/>
              <w:bottom w:type="dxa" w:w="80"/>
              <w:right w:type="dxa" w:w="80"/>
            </w:tcMar>
          </w:tcPr>
          <w:p>
            <w:r>
              <w:rPr>
                <w:rFonts w:ascii="Arial" w:cs="Arial" w:eastAsia="Arial" w:hAnsi="Arial"/>
                <w:b/>
                <w:bCs/>
                <w:color w:val="FFFFFF"/>
                <w:sz w:val="20"/>
                <w:szCs w:val="20"/>
              </w:rPr>
              <w:t xml:space="preserve">Framework</w:t>
            </w:r>
          </w:p>
        </w:tc>
        <w:tc>
          <w:tcPr>
            <w:tcW w:type="dxa" w:w="7160"/>
            <w:tcBorders>
              <w:top w:val="single" w:color="CCCCCC" w:sz="1"/>
              <w:left w:val="single" w:color="CCCCCC" w:sz="1"/>
              <w:bottom w:val="single" w:color="CCCCCC" w:sz="1"/>
              <w:right w:val="single" w:color="CCCCCC" w:sz="1"/>
            </w:tcBorders>
            <w:shd w:fill="1B5E8A" w:val="clear"/>
            <w:tcMar>
              <w:top w:type="dxa" w:w="80"/>
              <w:left w:type="dxa" w:w="120"/>
              <w:bottom w:type="dxa" w:w="80"/>
              <w:right w:type="dxa" w:w="80"/>
            </w:tcMar>
          </w:tcPr>
          <w:p>
            <w:r>
              <w:rPr>
                <w:rFonts w:ascii="Arial" w:cs="Arial" w:eastAsia="Arial" w:hAnsi="Arial"/>
                <w:b/>
                <w:bCs/>
                <w:color w:val="FFFFFF"/>
                <w:sz w:val="20"/>
                <w:szCs w:val="20"/>
              </w:rPr>
              <w:t xml:space="preserve">Role in Platform</w:t>
            </w:r>
          </w:p>
        </w:tc>
      </w:tr>
      <w:tr>
        <w:trPr>
          <w:tblHeader w:val="false"/>
        </w:trPr>
        <w:tc>
          <w:tcPr>
            <w:tcW w:type="dxa" w:w="2200"/>
            <w:tcBorders>
              <w:top w:val="single" w:color="CCCCCC" w:sz="1"/>
              <w:left w:val="single" w:color="CCCCCC" w:sz="1"/>
              <w:bottom w:val="single" w:color="CCCCCC" w:sz="1"/>
              <w:right w:val="single" w:color="CCCCCC" w:sz="1"/>
            </w:tcBorders>
            <w:shd w:fill="E8F1F7" w:val="clear"/>
            <w:tcMar>
              <w:top w:type="dxa" w:w="80"/>
              <w:left w:type="dxa" w:w="120"/>
              <w:bottom w:type="dxa" w:w="80"/>
              <w:right w:type="dxa" w:w="80"/>
            </w:tcMar>
          </w:tcPr>
          <w:p>
            <w:r>
              <w:rPr>
                <w:rFonts w:ascii="Arial" w:cs="Arial" w:eastAsia="Arial" w:hAnsi="Arial"/>
                <w:b w:val="false"/>
                <w:bCs w:val="false"/>
                <w:color w:val="0D2D4A"/>
                <w:sz w:val="20"/>
                <w:szCs w:val="20"/>
              </w:rPr>
              <w:t xml:space="preserve">ISCO-08</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1A"/>
                <w:sz w:val="20"/>
                <w:szCs w:val="20"/>
              </w:rPr>
              <w:t xml:space="preserve">Occupational backbone — standardised across all countries. All occupations normalised to this taxonomy for portability and international comparability.</w:t>
            </w:r>
          </w:p>
        </w:tc>
      </w:tr>
      <w:tr>
        <w:trPr>
          <w:tblHeader w:val="false"/>
        </w:trPr>
        <w:tc>
          <w:tcPr>
            <w:tcW w:type="dxa" w:w="2200"/>
            <w:tcBorders>
              <w:top w:val="single" w:color="CCCCCC" w:sz="1"/>
              <w:left w:val="single" w:color="CCCCCC" w:sz="1"/>
              <w:bottom w:val="single" w:color="CCCCCC" w:sz="1"/>
              <w:right w:val="single" w:color="CCCCCC" w:sz="1"/>
            </w:tcBorders>
            <w:shd w:fill="E8F1F7" w:val="clear"/>
            <w:tcMar>
              <w:top w:type="dxa" w:w="80"/>
              <w:left w:type="dxa" w:w="120"/>
              <w:bottom w:type="dxa" w:w="80"/>
              <w:right w:type="dxa" w:w="80"/>
            </w:tcMar>
          </w:tcPr>
          <w:p>
            <w:r>
              <w:rPr>
                <w:rFonts w:ascii="Arial" w:cs="Arial" w:eastAsia="Arial" w:hAnsi="Arial"/>
                <w:b w:val="false"/>
                <w:bCs w:val="false"/>
                <w:color w:val="0D2D4A"/>
                <w:sz w:val="20"/>
                <w:szCs w:val="20"/>
              </w:rPr>
              <w:t xml:space="preserve">ESCO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1A"/>
                <w:sz w:val="20"/>
                <w:szCs w:val="20"/>
              </w:rPr>
              <w:t xml:space="preserve">Skills layer — multilingual skills and occupation taxonomy with machine-readable competence links. Supports recommendation, matching, and explainability. Essential for cross-border portability.</w:t>
            </w:r>
          </w:p>
        </w:tc>
      </w:tr>
      <w:tr>
        <w:trPr>
          <w:tblHeader w:val="false"/>
        </w:trPr>
        <w:tc>
          <w:tcPr>
            <w:tcW w:type="dxa" w:w="2200"/>
            <w:tcBorders>
              <w:top w:val="single" w:color="CCCCCC" w:sz="1"/>
              <w:left w:val="single" w:color="CCCCCC" w:sz="1"/>
              <w:bottom w:val="single" w:color="CCCCCC" w:sz="1"/>
              <w:right w:val="single" w:color="CCCCCC" w:sz="1"/>
            </w:tcBorders>
            <w:shd w:fill="E8F1F7" w:val="clear"/>
            <w:tcMar>
              <w:top w:type="dxa" w:w="80"/>
              <w:left w:type="dxa" w:w="120"/>
              <w:bottom w:type="dxa" w:w="80"/>
              <w:right w:type="dxa" w:w="80"/>
            </w:tcMar>
          </w:tcPr>
          <w:p>
            <w:r>
              <w:rPr>
                <w:rFonts w:ascii="Arial" w:cs="Arial" w:eastAsia="Arial" w:hAnsi="Arial"/>
                <w:b w:val="false"/>
                <w:bCs w:val="false"/>
                <w:color w:val="0D2D4A"/>
                <w:sz w:val="20"/>
                <w:szCs w:val="20"/>
              </w:rPr>
              <w:t xml:space="preserve">ILO GenAI Index 2025</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1A"/>
                <w:sz w:val="20"/>
                <w:szCs w:val="20"/>
              </w:rPr>
              <w:t xml:space="preserve">Automation exposure scores at 6-digit ISCO-08 level, covering ~30,000 tasks. Replaces Frey-Osborne (2013) as primary automation risk source. ISCO-08 native — no crosswalk needed.</w:t>
            </w:r>
          </w:p>
        </w:tc>
      </w:tr>
      <w:tr>
        <w:trPr>
          <w:tblHeader w:val="false"/>
        </w:trPr>
        <w:tc>
          <w:tcPr>
            <w:tcW w:type="dxa" w:w="2200"/>
            <w:tcBorders>
              <w:top w:val="single" w:color="CCCCCC" w:sz="1"/>
              <w:left w:val="single" w:color="CCCCCC" w:sz="1"/>
              <w:bottom w:val="single" w:color="CCCCCC" w:sz="1"/>
              <w:right w:val="single" w:color="CCCCCC" w:sz="1"/>
            </w:tcBorders>
            <w:shd w:fill="E8F1F7" w:val="clear"/>
            <w:tcMar>
              <w:top w:type="dxa" w:w="80"/>
              <w:left w:type="dxa" w:w="120"/>
              <w:bottom w:type="dxa" w:w="80"/>
              <w:right w:type="dxa" w:w="80"/>
            </w:tcMar>
          </w:tcPr>
          <w:p>
            <w:r>
              <w:rPr>
                <w:rFonts w:ascii="Arial" w:cs="Arial" w:eastAsia="Arial" w:hAnsi="Arial"/>
                <w:b w:val="false"/>
                <w:bCs w:val="false"/>
                <w:color w:val="0D2D4A"/>
                <w:sz w:val="20"/>
                <w:szCs w:val="20"/>
              </w:rPr>
              <w:t xml:space="preserve">WEF Future of Jobs 2025</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1A"/>
                <w:sz w:val="20"/>
                <w:szCs w:val="20"/>
              </w:rPr>
              <w:t xml:space="preserve">Employer-side demand signals for Nigeria and SSA. Calibrates sector growth outlook and skill demand rankings.</w:t>
            </w:r>
          </w:p>
        </w:tc>
      </w:tr>
      <w:tr>
        <w:trPr>
          <w:tblHeader w:val="false"/>
        </w:trPr>
        <w:tc>
          <w:tcPr>
            <w:tcW w:type="dxa" w:w="2200"/>
            <w:tcBorders>
              <w:top w:val="single" w:color="CCCCCC" w:sz="1"/>
              <w:left w:val="single" w:color="CCCCCC" w:sz="1"/>
              <w:bottom w:val="single" w:color="CCCCCC" w:sz="1"/>
              <w:right w:val="single" w:color="CCCCCC" w:sz="1"/>
            </w:tcBorders>
            <w:shd w:fill="E8F1F7" w:val="clear"/>
            <w:tcMar>
              <w:top w:type="dxa" w:w="80"/>
              <w:left w:type="dxa" w:w="120"/>
              <w:bottom w:type="dxa" w:w="80"/>
              <w:right w:type="dxa" w:w="80"/>
            </w:tcMar>
          </w:tcPr>
          <w:p>
            <w:r>
              <w:rPr>
                <w:rFonts w:ascii="Arial" w:cs="Arial" w:eastAsia="Arial" w:hAnsi="Arial"/>
                <w:b w:val="false"/>
                <w:bCs w:val="false"/>
                <w:color w:val="0D2D4A"/>
                <w:sz w:val="20"/>
                <w:szCs w:val="20"/>
              </w:rPr>
              <w:t xml:space="preserve">NBS Labour Force Survey Q1/Q2 2024</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1A"/>
                <w:sz w:val="20"/>
                <w:szCs w:val="20"/>
              </w:rPr>
              <w:t xml:space="preserve">Nigeria-specific employment structure, informality rates, wage benchmarks by sector. Primary domestic source.</w:t>
            </w:r>
          </w:p>
        </w:tc>
      </w:tr>
      <w:tr>
        <w:trPr>
          <w:tblHeader w:val="false"/>
        </w:trPr>
        <w:tc>
          <w:tcPr>
            <w:tcW w:type="dxa" w:w="2200"/>
            <w:tcBorders>
              <w:top w:val="single" w:color="CCCCCC" w:sz="1"/>
              <w:left w:val="single" w:color="CCCCCC" w:sz="1"/>
              <w:bottom w:val="single" w:color="CCCCCC" w:sz="1"/>
              <w:right w:val="single" w:color="CCCCCC" w:sz="1"/>
            </w:tcBorders>
            <w:shd w:fill="E8F1F7" w:val="clear"/>
            <w:tcMar>
              <w:top w:type="dxa" w:w="80"/>
              <w:left w:type="dxa" w:w="120"/>
              <w:bottom w:type="dxa" w:w="80"/>
              <w:right w:type="dxa" w:w="80"/>
            </w:tcMar>
          </w:tcPr>
          <w:p>
            <w:r>
              <w:rPr>
                <w:rFonts w:ascii="Arial" w:cs="Arial" w:eastAsia="Arial" w:hAnsi="Arial"/>
                <w:b w:val="false"/>
                <w:bCs w:val="false"/>
                <w:color w:val="0D2D4A"/>
                <w:sz w:val="20"/>
                <w:szCs w:val="20"/>
              </w:rPr>
              <w:t xml:space="preserve">Moniepoint Informal Economy Report 2025</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1A"/>
                <w:sz w:val="20"/>
                <w:szCs w:val="20"/>
              </w:rPr>
              <w:t xml:space="preserve">Granular informal sector composition data. Best available source for informal occupation clusters in Nigeria.</w:t>
            </w:r>
          </w:p>
        </w:tc>
      </w:tr>
    </w:tbl>
    <w:p>
      <w:pPr>
        <w:spacing w:after="0" w:before="80"/>
      </w:pPr>
      <w:r>
        <w:t xml:space="preserve"/>
      </w:r>
    </w:p>
    <w:p>
      <w:pPr>
        <w:spacing w:after="120" w:before="80" w:line="276"/>
        <w:jc w:val="both"/>
      </w:pPr>
      <w:r>
        <w:rPr>
          <w:rFonts w:ascii="Arial" w:cs="Arial" w:eastAsia="Arial" w:hAnsi="Arial"/>
          <w:color w:val="1A1A1A"/>
          <w:sz w:val="22"/>
          <w:szCs w:val="22"/>
        </w:rPr>
        <w:t xml:space="preserve">The product data model should use a two-layer graph: occupations normalised to ISCO-08 at the node level, with skills from the ESCO ontology as edges carrying weight, confidence, and match type. This structure allows the system to explain why a user is being matched to a role, rather than simply returning a list of titles.</w:t>
      </w:r>
    </w:p>
    <w:p>
      <w:pPr>
        <w:spacing w:after="0" w:before="160"/>
      </w:pPr>
      <w:r>
        <w:t xml:space="preserve"/>
      </w:r>
    </w:p>
    <w:p>
      <w:pPr>
        <w:pStyle w:val="Heading1"/>
        <w:pBdr>
          <w:bottom w:val="single" w:color="1B5E8A" w:sz="6" w:space="4"/>
        </w:pBdr>
        <w:spacing w:after="120" w:before="360"/>
      </w:pPr>
      <w:r>
        <w:rPr>
          <w:rFonts w:ascii="Arial" w:cs="Arial" w:eastAsia="Arial" w:hAnsi="Arial"/>
          <w:b/>
          <w:bCs/>
          <w:color w:val="0D2D4A"/>
          <w:sz w:val="28"/>
          <w:szCs w:val="28"/>
        </w:rPr>
        <w:t xml:space="preserve">7. Product Implications</w:t>
      </w:r>
    </w:p>
    <w:p>
      <w:pPr>
        <w:spacing w:after="120" w:before="80" w:line="276"/>
        <w:jc w:val="both"/>
      </w:pPr>
      <w:r>
        <w:rPr>
          <w:rFonts w:ascii="Arial" w:cs="Arial" w:eastAsia="Arial" w:hAnsi="Arial"/>
          <w:color w:val="1A1A1A"/>
          <w:sz w:val="22"/>
          <w:szCs w:val="22"/>
        </w:rPr>
        <w:t xml:space="preserve">The research supports three design principles for the UNMAPPED matching layer: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B5E8A" w:val="clear"/>
            <w:tcMar>
              <w:top w:type="dxa" w:w="140"/>
              <w:left w:type="dxa" w:w="120"/>
              <w:bottom w:type="dxa" w:w="140"/>
              <w:right w:type="dxa" w:w="80"/>
            </w:tcMar>
            <w:vAlign w:val="center"/>
          </w:tcPr>
          <w:p>
            <w:pPr>
              <w:jc w:val="center"/>
            </w:pPr>
            <w:r>
              <w:rPr>
                <w:rFonts w:ascii="Arial" w:cs="Arial" w:eastAsia="Arial" w:hAnsi="Arial"/>
                <w:b/>
                <w:bCs/>
                <w:color w:val="FFFFFF"/>
                <w:sz w:val="28"/>
                <w:szCs w:val="28"/>
              </w:rPr>
              <w:t xml:space="preserve">01</w:t>
            </w:r>
          </w:p>
        </w:tc>
        <w:tc>
          <w:tcPr>
            <w:tcW w:type="dxa" w:w="8960"/>
            <w:tcBorders>
              <w:top w:val="single" w:color="BBCCDD" w:sz="1"/>
              <w:left w:val="none" w:color="FFFFFF" w:sz="0"/>
              <w:bottom w:val="single" w:color="BBCCDD" w:sz="1"/>
              <w:right w:val="single" w:color="BBCCDD" w:sz="1"/>
            </w:tcBorders>
            <w:shd w:fill="E8F1F7" w:val="clear"/>
            <w:tcMar>
              <w:top w:type="dxa" w:w="120"/>
              <w:left w:type="dxa" w:w="160"/>
              <w:bottom w:type="dxa" w:w="120"/>
              <w:right w:type="dxa" w:w="120"/>
            </w:tcMar>
          </w:tcPr>
          <w:p>
            <w:pPr>
              <w:spacing w:after="60" w:before="0"/>
            </w:pPr>
            <w:r>
              <w:rPr>
                <w:rFonts w:ascii="Arial" w:cs="Arial" w:eastAsia="Arial" w:hAnsi="Arial"/>
                <w:b/>
                <w:bCs/>
                <w:color w:val="0D2D4A"/>
                <w:sz w:val="22"/>
                <w:szCs w:val="22"/>
              </w:rPr>
              <w:t xml:space="preserve">Rank direct and adjacency matches separately</w:t>
            </w:r>
          </w:p>
          <w:p>
            <w:pPr>
              <w:spacing w:after="0" w:before="0"/>
            </w:pPr>
            <w:r>
              <w:rPr>
                <w:rFonts w:ascii="Arial" w:cs="Arial" w:eastAsia="Arial" w:hAnsi="Arial"/>
                <w:color w:val="333333"/>
                <w:sz w:val="21"/>
                <w:szCs w:val="21"/>
              </w:rPr>
              <w:t xml:space="preserve">Direct matches are useful for users already close to a role. Adjacency matches capture realistic transition pathways from informal work into growing sectors. A phone repairer should see both 'Electronics Mechanic' and 'Solar Installer / Broadband Technician' — with the gap clearly stated.</w:t>
            </w:r>
          </w:p>
        </w:tc>
      </w:tr>
      <w:tr>
        <w:tc>
          <w:tcPr>
            <w:tcW w:type="dxa" w:w="400"/>
            <w:tcBorders>
              <w:top w:val="none" w:color="FFFFFF" w:sz="0"/>
              <w:left w:val="none" w:color="FFFFFF" w:sz="0"/>
              <w:bottom w:val="none" w:color="FFFFFF" w:sz="0"/>
              <w:right w:val="none" w:color="FFFFFF" w:sz="0"/>
            </w:tcBorders>
            <w:shd w:fill="2E75B6" w:val="clear"/>
            <w:tcMar>
              <w:top w:type="dxa" w:w="140"/>
              <w:left w:type="dxa" w:w="120"/>
              <w:bottom w:type="dxa" w:w="140"/>
              <w:right w:type="dxa" w:w="80"/>
            </w:tcMar>
            <w:vAlign w:val="center"/>
          </w:tcPr>
          <w:p>
            <w:pPr>
              <w:jc w:val="center"/>
            </w:pPr>
            <w:r>
              <w:rPr>
                <w:rFonts w:ascii="Arial" w:cs="Arial" w:eastAsia="Arial" w:hAnsi="Arial"/>
                <w:b/>
                <w:bCs/>
                <w:color w:val="FFFFFF"/>
                <w:sz w:val="28"/>
                <w:szCs w:val="28"/>
              </w:rPr>
              <w:t xml:space="preserve">02</w:t>
            </w:r>
          </w:p>
        </w:tc>
        <w:tc>
          <w:tcPr>
            <w:tcW w:type="dxa" w:w="8960"/>
            <w:tcBorders>
              <w:top w:val="single" w:color="BBCCDD" w:sz="1"/>
              <w:left w:val="none" w:color="FFFFFF" w:sz="0"/>
              <w:bottom w:val="single" w:color="BBCCDD" w:sz="1"/>
              <w:right w:val="single" w:color="BBCCDD" w:sz="1"/>
            </w:tcBorders>
            <w:shd w:fill="F5F5F5" w:val="clear"/>
            <w:tcMar>
              <w:top w:type="dxa" w:w="120"/>
              <w:left w:type="dxa" w:w="160"/>
              <w:bottom w:type="dxa" w:w="120"/>
              <w:right w:type="dxa" w:w="120"/>
            </w:tcMar>
          </w:tcPr>
          <w:p>
            <w:pPr>
              <w:spacing w:after="60" w:before="0"/>
            </w:pPr>
            <w:r>
              <w:rPr>
                <w:rFonts w:ascii="Arial" w:cs="Arial" w:eastAsia="Arial" w:hAnsi="Arial"/>
                <w:b/>
                <w:bCs/>
                <w:color w:val="0D2D4A"/>
                <w:sz w:val="22"/>
                <w:szCs w:val="22"/>
              </w:rPr>
              <w:t xml:space="preserve">Include AI risk awareness — especially for aspirational roles</w:t>
            </w:r>
          </w:p>
          <w:p>
            <w:pPr>
              <w:spacing w:after="0" w:before="0"/>
            </w:pPr>
            <w:r>
              <w:rPr>
                <w:rFonts w:ascii="Arial" w:cs="Arial" w:eastAsia="Arial" w:hAnsi="Arial"/>
                <w:color w:val="333333"/>
                <w:sz w:val="21"/>
                <w:szCs w:val="21"/>
              </w:rPr>
              <w:t xml:space="preserve">Users should see not just where demand exists, but which occupations are exposed to automation — particularly the clerical and admin roles that appear safe but carry the highest GenAI risk in Nigeria's context. The message is honest: 'the job you're trying to get into may be more at risk than the one you currently do.'</w:t>
            </w:r>
          </w:p>
        </w:tc>
      </w:tr>
      <w:tr>
        <w:tc>
          <w:tcPr>
            <w:tcW w:type="dxa" w:w="400"/>
            <w:tcBorders>
              <w:top w:val="none" w:color="FFFFFF" w:sz="0"/>
              <w:left w:val="none" w:color="FFFFFF" w:sz="0"/>
              <w:bottom w:val="none" w:color="FFFFFF" w:sz="0"/>
              <w:right w:val="none" w:color="FFFFFF" w:sz="0"/>
            </w:tcBorders>
            <w:shd w:fill="F7A800" w:val="clear"/>
            <w:tcMar>
              <w:top w:type="dxa" w:w="140"/>
              <w:left w:type="dxa" w:w="120"/>
              <w:bottom w:type="dxa" w:w="140"/>
              <w:right w:type="dxa" w:w="80"/>
            </w:tcMar>
            <w:vAlign w:val="center"/>
          </w:tcPr>
          <w:p>
            <w:pPr>
              <w:jc w:val="center"/>
            </w:pPr>
            <w:r>
              <w:rPr>
                <w:rFonts w:ascii="Arial" w:cs="Arial" w:eastAsia="Arial" w:hAnsi="Arial"/>
                <w:b/>
                <w:bCs/>
                <w:color w:val="FFFFFF"/>
                <w:sz w:val="28"/>
                <w:szCs w:val="28"/>
              </w:rPr>
              <w:t xml:space="preserve">03</w:t>
            </w:r>
          </w:p>
        </w:tc>
        <w:tc>
          <w:tcPr>
            <w:tcW w:type="dxa" w:w="8960"/>
            <w:tcBorders>
              <w:top w:val="single" w:color="BBCCDD" w:sz="1"/>
              <w:left w:val="none" w:color="FFFFFF" w:sz="0"/>
              <w:bottom w:val="single" w:color="BBCCDD" w:sz="1"/>
              <w:right w:val="single" w:color="BBCCDD" w:sz="1"/>
            </w:tcBorders>
            <w:shd w:fill="E8F1F7" w:val="clear"/>
            <w:tcMar>
              <w:top w:type="dxa" w:w="120"/>
              <w:left w:type="dxa" w:w="160"/>
              <w:bottom w:type="dxa" w:w="120"/>
              <w:right w:type="dxa" w:w="120"/>
            </w:tcMar>
          </w:tcPr>
          <w:p>
            <w:pPr>
              <w:spacing w:after="60" w:before="0"/>
            </w:pPr>
            <w:r>
              <w:rPr>
                <w:rFonts w:ascii="Arial" w:cs="Arial" w:eastAsia="Arial" w:hAnsi="Arial"/>
                <w:b/>
                <w:bCs/>
                <w:color w:val="0D2D4A"/>
                <w:sz w:val="22"/>
                <w:szCs w:val="22"/>
              </w:rPr>
              <w:t xml:space="preserve">Use local labour market context to modify global taxonomy matches</w:t>
            </w:r>
          </w:p>
          <w:p>
            <w:pPr>
              <w:spacing w:after="0" w:before="0"/>
            </w:pPr>
            <w:r>
              <w:rPr>
                <w:rFonts w:ascii="Arial" w:cs="Arial" w:eastAsia="Arial" w:hAnsi="Arial"/>
                <w:color w:val="333333"/>
                <w:sz w:val="21"/>
                <w:szCs w:val="21"/>
              </w:rPr>
              <w:t xml:space="preserve">Nigeria-specific demand signals, informal sector realities, and regional job patterns should modify ISCO-08 and ESCO matches so recommendations reflect what is actually accessible — not just what is theoretically possible. A match to 'Accountant' should surface its automation risk. A match to 'Solar Technician' should surface its wage trajectory.</w:t>
            </w:r>
          </w:p>
        </w:tc>
      </w:tr>
    </w:tbl>
    <w:p>
      <w:pPr>
        <w:spacing w:after="0" w:before="160"/>
      </w:pPr>
      <w:r>
        <w:t xml:space="preserve"/>
      </w:r>
    </w:p>
    <w:p>
      <w:pPr>
        <w:pStyle w:val="Heading1"/>
        <w:pBdr>
          <w:bottom w:val="single" w:color="1B5E8A" w:sz="6" w:space="4"/>
        </w:pBdr>
        <w:spacing w:after="120" w:before="360"/>
      </w:pPr>
      <w:r>
        <w:rPr>
          <w:rFonts w:ascii="Arial" w:cs="Arial" w:eastAsia="Arial" w:hAnsi="Arial"/>
          <w:b/>
          <w:bCs/>
          <w:color w:val="0D2D4A"/>
          <w:sz w:val="28"/>
          <w:szCs w:val="28"/>
        </w:rPr>
        <w:t xml:space="preserve">8. Conclusion</w:t>
      </w:r>
    </w:p>
    <w:p>
      <w:pPr>
        <w:spacing w:after="120" w:before="80" w:line="276"/>
        <w:jc w:val="both"/>
      </w:pPr>
      <w:r>
        <w:rPr>
          <w:rFonts w:ascii="Arial" w:cs="Arial" w:eastAsia="Arial" w:hAnsi="Arial"/>
          <w:color w:val="1A1A1A"/>
          <w:sz w:val="22"/>
          <w:szCs w:val="22"/>
        </w:rPr>
        <w:t xml:space="preserve">The evidence indicates that a skills-to-jobs platform for Nigeria and Sub-Saharan Africa should be built around three realities: informality, adjacency, and occupational transformation. Formal employer demand matters, but explains only part of the labour market. Most workers are in informal or hybrid work arrangements that require bridge pathways rather than direct job-title matching.</w:t>
      </w:r>
    </w:p>
    <w:p>
      <w:pPr>
        <w:spacing w:after="0" w:before="80"/>
      </w:pPr>
      <w:r>
        <w:t xml:space="preserve"/>
      </w:r>
    </w:p>
    <w:p>
      <w:pPr>
        <w:spacing w:after="120" w:before="80" w:line="276"/>
        <w:jc w:val="both"/>
      </w:pPr>
      <w:r>
        <w:rPr>
          <w:rFonts w:ascii="Arial" w:cs="Arial" w:eastAsia="Arial" w:hAnsi="Arial"/>
          <w:color w:val="1A1A1A"/>
          <w:sz w:val="22"/>
          <w:szCs w:val="22"/>
        </w:rPr>
        <w:t xml:space="preserve">Generative AI is most likely to reshape clerical and administrative work — precisely the roles that represent aspiration and upward mobility in the Nigerian context. A platform that shows users only where demand exists, without showing where risk sits, is incomplete. The most robust architecture is a localised, edge-weighted skills-occupation graph using ISCO-08 as the backbone and ESCO as the skills ontology — structured to support explainable recommendations, informal-to-formal transitions, and honest AI-readiness guidance.</w:t>
      </w:r>
    </w:p>
    <w:p>
      <w:pPr>
        <w:spacing w:after="0" w:before="160"/>
      </w:pPr>
      <w:r>
        <w:t xml:space="preserve"/>
      </w:r>
    </w:p>
    <w:p>
      <w:pPr>
        <w:pStyle w:val="Heading1"/>
        <w:pBdr>
          <w:bottom w:val="single" w:color="1B5E8A" w:sz="6" w:space="4"/>
        </w:pBdr>
        <w:spacing w:after="120" w:before="360"/>
      </w:pPr>
      <w:r>
        <w:rPr>
          <w:rFonts w:ascii="Arial" w:cs="Arial" w:eastAsia="Arial" w:hAnsi="Arial"/>
          <w:b/>
          <w:bCs/>
          <w:color w:val="0D2D4A"/>
          <w:sz w:val="28"/>
          <w:szCs w:val="28"/>
        </w:rPr>
        <w:t xml:space="preserve">Sources</w:t>
      </w:r>
    </w:p>
    <w:p>
      <w:pPr>
        <w:spacing w:after="60" w:before="40"/>
      </w:pPr>
      <w:r>
        <w:rPr>
          <w:rFonts w:ascii="Arial" w:cs="Arial" w:eastAsia="Arial" w:hAnsi="Arial"/>
          <w:i/>
          <w:iCs/>
          <w:color w:val="666666"/>
          <w:sz w:val="19"/>
          <w:szCs w:val="19"/>
        </w:rPr>
        <w:t xml:space="preserve">All sources accessed April 2026.</w:t>
      </w:r>
    </w:p>
    <w:p>
      <w:pPr>
        <w:spacing w:after="0" w:before="40"/>
      </w:pPr>
      <w:r>
        <w:t xml:space="preserve"/>
      </w:r>
    </w:p>
    <w:p>
      <w:pPr>
        <w:pStyle w:val="ListParagraph"/>
        <w:numPr>
          <w:ilvl w:val="0"/>
          <w:numId w:val="3"/>
        </w:numPr>
        <w:spacing w:after="30" w:before="30"/>
      </w:pPr>
      <w:r>
        <w:rPr>
          <w:rFonts w:ascii="Arial" w:cs="Arial" w:eastAsia="Arial" w:hAnsi="Arial"/>
          <w:color w:val="333333"/>
          <w:sz w:val="19"/>
          <w:szCs w:val="19"/>
        </w:rPr>
        <w:t xml:space="preserve">WEF Future of Jobs Report 2025 — Sub-Saharan Africa outlook — </w:t>
      </w:r>
      <w:r>
        <w:rPr>
          <w:rFonts w:ascii="Arial" w:cs="Arial" w:eastAsia="Arial" w:hAnsi="Arial"/>
          <w:color w:val="1B5E8A"/>
          <w:sz w:val="19"/>
          <w:szCs w:val="19"/>
        </w:rPr>
        <w:t xml:space="preserve">weforum.org/stories/2025/05/the-future-of-jobs-in-sub-saharan-africa</w:t>
      </w:r>
    </w:p>
    <w:p>
      <w:pPr>
        <w:pStyle w:val="ListParagraph"/>
        <w:numPr>
          <w:ilvl w:val="0"/>
          <w:numId w:val="3"/>
        </w:numPr>
        <w:spacing w:after="30" w:before="30"/>
      </w:pPr>
      <w:r>
        <w:rPr>
          <w:rFonts w:ascii="Arial" w:cs="Arial" w:eastAsia="Arial" w:hAnsi="Arial"/>
          <w:color w:val="333333"/>
          <w:sz w:val="19"/>
          <w:szCs w:val="19"/>
        </w:rPr>
        <w:t xml:space="preserve">WEF — How youthful Nigeria could become a digital powerhouse — </w:t>
      </w:r>
      <w:r>
        <w:rPr>
          <w:rFonts w:ascii="Arial" w:cs="Arial" w:eastAsia="Arial" w:hAnsi="Arial"/>
          <w:color w:val="1B5E8A"/>
          <w:sz w:val="19"/>
          <w:szCs w:val="19"/>
        </w:rPr>
        <w:t xml:space="preserve">weforum.org/stories/2025/11/nigeria-youth-wave-skills-powerhouse</w:t>
      </w:r>
    </w:p>
    <w:p>
      <w:pPr>
        <w:pStyle w:val="ListParagraph"/>
        <w:numPr>
          <w:ilvl w:val="0"/>
          <w:numId w:val="3"/>
        </w:numPr>
        <w:spacing w:after="30" w:before="30"/>
      </w:pPr>
      <w:r>
        <w:rPr>
          <w:rFonts w:ascii="Arial" w:cs="Arial" w:eastAsia="Arial" w:hAnsi="Arial"/>
          <w:color w:val="333333"/>
          <w:sz w:val="19"/>
          <w:szCs w:val="19"/>
        </w:rPr>
        <w:t xml:space="preserve">ILO / NASK — Generative AI and Jobs: A Refined Global Index of Occupational Exposure (2025) — </w:t>
      </w:r>
      <w:r>
        <w:rPr>
          <w:rFonts w:ascii="Arial" w:cs="Arial" w:eastAsia="Arial" w:hAnsi="Arial"/>
          <w:color w:val="1B5E8A"/>
          <w:sz w:val="19"/>
          <w:szCs w:val="19"/>
        </w:rPr>
        <w:t xml:space="preserve">ilo.org/publications/generative-ai-and-jobs-refined-global-index-occupational-exposure</w:t>
      </w:r>
    </w:p>
    <w:p>
      <w:pPr>
        <w:pStyle w:val="ListParagraph"/>
        <w:numPr>
          <w:ilvl w:val="0"/>
          <w:numId w:val="3"/>
        </w:numPr>
        <w:spacing w:after="30" w:before="30"/>
      </w:pPr>
      <w:r>
        <w:rPr>
          <w:rFonts w:ascii="Arial" w:cs="Arial" w:eastAsia="Arial" w:hAnsi="Arial"/>
          <w:color w:val="333333"/>
          <w:sz w:val="19"/>
          <w:szCs w:val="19"/>
        </w:rPr>
        <w:t xml:space="preserve">ILO / World Bank — Uneven global impact of generative AI on jobs (WDR 2026 background paper) — </w:t>
      </w:r>
      <w:r>
        <w:rPr>
          <w:rFonts w:ascii="Arial" w:cs="Arial" w:eastAsia="Arial" w:hAnsi="Arial"/>
          <w:color w:val="1B5E8A"/>
          <w:sz w:val="19"/>
          <w:szCs w:val="19"/>
        </w:rPr>
        <w:t xml:space="preserve">ilo.org/resource/news/new-ilo-world-bank-paper-highlights-uneven-global-impact-generative-ai-jobs</w:t>
      </w:r>
    </w:p>
    <w:p>
      <w:pPr>
        <w:pStyle w:val="ListParagraph"/>
        <w:numPr>
          <w:ilvl w:val="0"/>
          <w:numId w:val="3"/>
        </w:numPr>
        <w:spacing w:after="30" w:before="30"/>
      </w:pPr>
      <w:r>
        <w:rPr>
          <w:rFonts w:ascii="Arial" w:cs="Arial" w:eastAsia="Arial" w:hAnsi="Arial"/>
          <w:color w:val="333333"/>
          <w:sz w:val="19"/>
          <w:szCs w:val="19"/>
        </w:rPr>
        <w:t xml:space="preserve">ILO — New data confirm women face higher workplace risks from generative AI (2026) — </w:t>
      </w:r>
      <w:r>
        <w:rPr>
          <w:rFonts w:ascii="Arial" w:cs="Arial" w:eastAsia="Arial" w:hAnsi="Arial"/>
          <w:color w:val="1B5E8A"/>
          <w:sz w:val="19"/>
          <w:szCs w:val="19"/>
        </w:rPr>
        <w:t xml:space="preserve">ilo.org/resource/news/new-ilo-data-confirm-women-face-higher-workplace-risks-generative-ai-men</w:t>
      </w:r>
    </w:p>
    <w:p>
      <w:pPr>
        <w:pStyle w:val="ListParagraph"/>
        <w:numPr>
          <w:ilvl w:val="0"/>
          <w:numId w:val="3"/>
        </w:numPr>
        <w:spacing w:after="30" w:before="30"/>
      </w:pPr>
      <w:r>
        <w:rPr>
          <w:rFonts w:ascii="Arial" w:cs="Arial" w:eastAsia="Arial" w:hAnsi="Arial"/>
          <w:color w:val="333333"/>
          <w:sz w:val="19"/>
          <w:szCs w:val="19"/>
        </w:rPr>
        <w:t xml:space="preserve">Nigeria National Bureau of Statistics — Labour Force Survey Q1 2024 — </w:t>
      </w:r>
      <w:r>
        <w:rPr>
          <w:rFonts w:ascii="Arial" w:cs="Arial" w:eastAsia="Arial" w:hAnsi="Arial"/>
          <w:color w:val="1B5E8A"/>
          <w:sz w:val="19"/>
          <w:szCs w:val="19"/>
        </w:rPr>
        <w:t xml:space="preserve">nigerianstat.gov.ng/pdfuploads/NLFS_Q1_2024_Report.pdf</w:t>
      </w:r>
    </w:p>
    <w:p>
      <w:pPr>
        <w:pStyle w:val="ListParagraph"/>
        <w:numPr>
          <w:ilvl w:val="0"/>
          <w:numId w:val="3"/>
        </w:numPr>
        <w:spacing w:after="30" w:before="30"/>
      </w:pPr>
      <w:r>
        <w:rPr>
          <w:rFonts w:ascii="Arial" w:cs="Arial" w:eastAsia="Arial" w:hAnsi="Arial"/>
          <w:color w:val="333333"/>
          <w:sz w:val="19"/>
          <w:szCs w:val="19"/>
        </w:rPr>
        <w:t xml:space="preserve">NBS / ILO — Nigeria: Navigating economic and labour market challenges — </w:t>
      </w:r>
      <w:r>
        <w:rPr>
          <w:rFonts w:ascii="Arial" w:cs="Arial" w:eastAsia="Arial" w:hAnsi="Arial"/>
          <w:color w:val="1B5E8A"/>
          <w:sz w:val="19"/>
          <w:szCs w:val="19"/>
        </w:rPr>
        <w:t xml:space="preserve">ilo.org/sites/default/files/2024-11/Nigeria%20policy%20brief%207%20Nov.pdf</w:t>
      </w:r>
    </w:p>
    <w:p>
      <w:pPr>
        <w:pStyle w:val="ListParagraph"/>
        <w:numPr>
          <w:ilvl w:val="0"/>
          <w:numId w:val="3"/>
        </w:numPr>
        <w:spacing w:after="30" w:before="30"/>
      </w:pPr>
      <w:r>
        <w:rPr>
          <w:rFonts w:ascii="Arial" w:cs="Arial" w:eastAsia="Arial" w:hAnsi="Arial"/>
          <w:color w:val="333333"/>
          <w:sz w:val="19"/>
          <w:szCs w:val="19"/>
        </w:rPr>
        <w:t xml:space="preserve">NESG — From Hustle to Decent Work: Unlocking Jobs and Productivity for Nigeria (2025) — </w:t>
      </w:r>
      <w:r>
        <w:rPr>
          <w:rFonts w:ascii="Arial" w:cs="Arial" w:eastAsia="Arial" w:hAnsi="Arial"/>
          <w:color w:val="1B5E8A"/>
          <w:sz w:val="19"/>
          <w:szCs w:val="19"/>
        </w:rPr>
        <w:t xml:space="preserve">nesgroup.org</w:t>
      </w:r>
    </w:p>
    <w:p>
      <w:pPr>
        <w:pStyle w:val="ListParagraph"/>
        <w:numPr>
          <w:ilvl w:val="0"/>
          <w:numId w:val="3"/>
        </w:numPr>
        <w:spacing w:after="30" w:before="30"/>
      </w:pPr>
      <w:r>
        <w:rPr>
          <w:rFonts w:ascii="Arial" w:cs="Arial" w:eastAsia="Arial" w:hAnsi="Arial"/>
          <w:color w:val="333333"/>
          <w:sz w:val="19"/>
          <w:szCs w:val="19"/>
        </w:rPr>
        <w:t xml:space="preserve">Moniepoint — 2025 Informal Economy Report — </w:t>
      </w:r>
      <w:r>
        <w:rPr>
          <w:rFonts w:ascii="Arial" w:cs="Arial" w:eastAsia="Arial" w:hAnsi="Arial"/>
          <w:color w:val="1B5E8A"/>
          <w:sz w:val="19"/>
          <w:szCs w:val="19"/>
        </w:rPr>
        <w:t xml:space="preserve">moniepoint.com/blog/the-moniepoint-2025-informal-economy-report</w:t>
      </w:r>
    </w:p>
    <w:p>
      <w:pPr>
        <w:pStyle w:val="ListParagraph"/>
        <w:numPr>
          <w:ilvl w:val="0"/>
          <w:numId w:val="3"/>
        </w:numPr>
        <w:spacing w:after="30" w:before="30"/>
      </w:pPr>
      <w:r>
        <w:rPr>
          <w:rFonts w:ascii="Arial" w:cs="Arial" w:eastAsia="Arial" w:hAnsi="Arial"/>
          <w:color w:val="333333"/>
          <w:sz w:val="19"/>
          <w:szCs w:val="19"/>
        </w:rPr>
        <w:t xml:space="preserve">MyJobMag — 70 Job Statistics in Nigeria 2026 — </w:t>
      </w:r>
      <w:r>
        <w:rPr>
          <w:rFonts w:ascii="Arial" w:cs="Arial" w:eastAsia="Arial" w:hAnsi="Arial"/>
          <w:color w:val="1B5E8A"/>
          <w:sz w:val="19"/>
          <w:szCs w:val="19"/>
        </w:rPr>
        <w:t xml:space="preserve">myjobmag.com/blog/nigeria-job-statistics</w:t>
      </w:r>
    </w:p>
    <w:p>
      <w:pPr>
        <w:pStyle w:val="ListParagraph"/>
        <w:numPr>
          <w:ilvl w:val="0"/>
          <w:numId w:val="3"/>
        </w:numPr>
        <w:spacing w:after="30" w:before="30"/>
      </w:pPr>
      <w:r>
        <w:rPr>
          <w:rFonts w:ascii="Arial" w:cs="Arial" w:eastAsia="Arial" w:hAnsi="Arial"/>
          <w:color w:val="333333"/>
          <w:sz w:val="19"/>
          <w:szCs w:val="19"/>
        </w:rPr>
        <w:t xml:space="preserve">Jobberman — Nigeria Informal Sector Report 2024 — </w:t>
      </w:r>
      <w:r>
        <w:rPr>
          <w:rFonts w:ascii="Arial" w:cs="Arial" w:eastAsia="Arial" w:hAnsi="Arial"/>
          <w:color w:val="1B5E8A"/>
          <w:sz w:val="19"/>
          <w:szCs w:val="19"/>
        </w:rPr>
        <w:t xml:space="preserve">jobberman.com/discover/jobberman-report-on-nigeria-informal-sector</w:t>
      </w:r>
    </w:p>
    <w:p>
      <w:pPr>
        <w:pStyle w:val="ListParagraph"/>
        <w:numPr>
          <w:ilvl w:val="0"/>
          <w:numId w:val="3"/>
        </w:numPr>
        <w:spacing w:after="30" w:before="30"/>
      </w:pPr>
      <w:r>
        <w:rPr>
          <w:rFonts w:ascii="Arial" w:cs="Arial" w:eastAsia="Arial" w:hAnsi="Arial"/>
          <w:color w:val="333333"/>
          <w:sz w:val="19"/>
          <w:szCs w:val="19"/>
        </w:rPr>
        <w:t xml:space="preserve">Tekedia — Nigeria's Labour Market: Fragile Balance (2024) — </w:t>
      </w:r>
      <w:r>
        <w:rPr>
          <w:rFonts w:ascii="Arial" w:cs="Arial" w:eastAsia="Arial" w:hAnsi="Arial"/>
          <w:color w:val="1B5E8A"/>
          <w:sz w:val="19"/>
          <w:szCs w:val="19"/>
        </w:rPr>
        <w:t xml:space="preserve">tekedia.com</w:t>
      </w:r>
    </w:p>
    <w:p>
      <w:pPr>
        <w:pStyle w:val="ListParagraph"/>
        <w:numPr>
          <w:ilvl w:val="0"/>
          <w:numId w:val="3"/>
        </w:numPr>
        <w:spacing w:after="30" w:before="30"/>
      </w:pPr>
      <w:r>
        <w:rPr>
          <w:rFonts w:ascii="Arial" w:cs="Arial" w:eastAsia="Arial" w:hAnsi="Arial"/>
          <w:color w:val="333333"/>
          <w:sz w:val="19"/>
          <w:szCs w:val="19"/>
        </w:rPr>
        <w:t xml:space="preserve">ILOSTAT / UN Statistics — ISCO-08 Classification — </w:t>
      </w:r>
      <w:r>
        <w:rPr>
          <w:rFonts w:ascii="Arial" w:cs="Arial" w:eastAsia="Arial" w:hAnsi="Arial"/>
          <w:color w:val="1B5E8A"/>
          <w:sz w:val="19"/>
          <w:szCs w:val="19"/>
        </w:rPr>
        <w:t xml:space="preserve">ilostat.ilo.org/methods/concepts-and-definitions/classification-occupation</w:t>
      </w:r>
    </w:p>
    <w:p>
      <w:pPr>
        <w:pStyle w:val="ListParagraph"/>
        <w:numPr>
          <w:ilvl w:val="0"/>
          <w:numId w:val="3"/>
        </w:numPr>
        <w:spacing w:after="30" w:before="30"/>
      </w:pPr>
      <w:r>
        <w:rPr>
          <w:rFonts w:ascii="Arial" w:cs="Arial" w:eastAsia="Arial" w:hAnsi="Arial"/>
          <w:color w:val="333333"/>
          <w:sz w:val="19"/>
          <w:szCs w:val="19"/>
        </w:rPr>
        <w:t xml:space="preserve">ESCO — Competence-based job matching and skills-occupations matrix — </w:t>
      </w:r>
      <w:r>
        <w:rPr>
          <w:rFonts w:ascii="Arial" w:cs="Arial" w:eastAsia="Arial" w:hAnsi="Arial"/>
          <w:color w:val="1B5E8A"/>
          <w:sz w:val="19"/>
          <w:szCs w:val="19"/>
        </w:rPr>
        <w:t xml:space="preserve">esco.ec.europa.eu</w:t>
      </w:r>
    </w:p>
    <w:p>
      <w:pPr>
        <w:pStyle w:val="ListParagraph"/>
        <w:numPr>
          <w:ilvl w:val="0"/>
          <w:numId w:val="3"/>
        </w:numPr>
        <w:spacing w:after="30" w:before="30"/>
      </w:pPr>
      <w:r>
        <w:rPr>
          <w:rFonts w:ascii="Arial" w:cs="Arial" w:eastAsia="Arial" w:hAnsi="Arial"/>
          <w:color w:val="333333"/>
          <w:sz w:val="19"/>
          <w:szCs w:val="19"/>
        </w:rPr>
        <w:t xml:space="preserve">World Bank — Why do so many Nigerian workers remain poor? — </w:t>
      </w:r>
      <w:r>
        <w:rPr>
          <w:rFonts w:ascii="Arial" w:cs="Arial" w:eastAsia="Arial" w:hAnsi="Arial"/>
          <w:color w:val="1B5E8A"/>
          <w:sz w:val="19"/>
          <w:szCs w:val="19"/>
        </w:rPr>
        <w:t xml:space="preserve">blogs.worldbank.org/en/opendata/why-do-so-many-nigerian-workers-remain-poor</w:t>
      </w:r>
    </w:p>
    <w:p>
      <w:pPr>
        <w:pStyle w:val="ListParagraph"/>
        <w:numPr>
          <w:ilvl w:val="0"/>
          <w:numId w:val="3"/>
        </w:numPr>
        <w:spacing w:after="30" w:before="30"/>
      </w:pPr>
      <w:r>
        <w:rPr>
          <w:rFonts w:ascii="Arial" w:cs="Arial" w:eastAsia="Arial" w:hAnsi="Arial"/>
          <w:color w:val="333333"/>
          <w:sz w:val="19"/>
          <w:szCs w:val="19"/>
        </w:rPr>
        <w:t xml:space="preserve">IDRC — Call for concept notes: Socio-economic impacts of AI in Africa (2025) — </w:t>
      </w:r>
      <w:r>
        <w:rPr>
          <w:rFonts w:ascii="Arial" w:cs="Arial" w:eastAsia="Arial" w:hAnsi="Arial"/>
          <w:color w:val="1B5E8A"/>
          <w:sz w:val="19"/>
          <w:szCs w:val="19"/>
        </w:rPr>
        <w:t xml:space="preserve">idrc-crdi.ca/en/call-concept-notes-socio-economic-impacts-artificial-intelligence-africa</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spacing w:before="80"/>
    </w:pPr>
    <w:r>
      <w:rPr>
        <w:rFonts w:ascii="Arial" w:cs="Arial" w:eastAsia="Arial" w:hAnsi="Arial"/>
        <w:color w:val="888888"/>
        <w:sz w:val="16"/>
        <w:szCs w:val="16"/>
      </w:rPr>
      <w:t xml:space="preserve">Hack-Nation × World Bank Youth Summit · Global AI Hackathon 2026</w:t>
    </w:r>
    <w:r>
      <w:rPr>
        <w:rFonts w:ascii="Arial" w:cs="Arial" w:eastAsia="Arial" w:hAnsi="Arial"/>
        <w:color w:val="888888"/>
        <w:sz w:val="16"/>
        <w:szCs w:val="16"/>
      </w:rPr>
      <w:t xml:space="preserve">	Page </w:t>
    </w:r>
    <w:r>
      <w:rPr>
        <w:rFonts w:ascii="Arial" w:cs="Arial" w:eastAsia="Arial" w:hAnsi="Arial"/>
        <w:color w:val="888888"/>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8A" w:sz="6" w:space="4"/>
      </w:pBdr>
      <w:tabs>
        <w:tab w:val="right" w:pos="9026"/>
      </w:tabs>
      <w:spacing w:after="120" w:before="0"/>
    </w:pPr>
    <w:r>
      <w:rPr>
        <w:rFonts w:ascii="Arial" w:cs="Arial" w:eastAsia="Arial" w:hAnsi="Arial"/>
        <w:b/>
        <w:bCs/>
        <w:color w:val="1B5E8A"/>
        <w:sz w:val="18"/>
        <w:szCs w:val="18"/>
      </w:rPr>
      <w:t xml:space="preserve">UNMAPPED — Research Brief</w:t>
    </w:r>
    <w:r>
      <w:rPr>
        <w:rFonts w:ascii="Arial" w:cs="Arial" w:eastAsia="Arial" w:hAnsi="Arial"/>
        <w:color w:val="888888"/>
        <w:sz w:val="18"/>
        <w:szCs w:val="18"/>
      </w:rPr>
      <w:t xml:space="preserve">	Skills, Jobs &amp; AI in Nigeria / SSA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2D4A"/>
      <w:sz w:val="28"/>
      <w:szCs w:val="28"/>
    </w:rPr>
  </w:style>
  <w:style w:type="paragraph" w:styleId="Heading2">
    <w:name w:val="Heading 2"/>
    <w:basedOn w:val="Normal"/>
    <w:next w:val="Normal"/>
    <w:qFormat/>
    <w:pPr>
      <w:spacing w:after="80" w:before="280"/>
      <w:outlineLvl w:val="1"/>
    </w:pPr>
    <w:rPr>
      <w:rFonts w:ascii="Arial" w:cs="Arial" w:eastAsia="Arial" w:hAnsi="Arial"/>
      <w:b/>
      <w:bCs/>
      <w:color w:val="1B5E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2026-04-25T22:44:42.276Z</dcterms:created>
  <dcterms:modified xsi:type="dcterms:W3CDTF">2026-04-25T22:44:42.276Z</dcterms:modified>
</cp:coreProperties>
</file>

<file path=docProps/custom.xml><?xml version="1.0" encoding="utf-8"?>
<Properties xmlns="http://schemas.openxmlformats.org/officeDocument/2006/custom-properties" xmlns:vt="http://schemas.openxmlformats.org/officeDocument/2006/docPropsVTypes"/>
</file>