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p>
      <w:r>
        <w:t xml:space="preserve">Create boundaries to your own behavior and consider how you can create safe space that helps prevent unacceptable behavior by others. We do not seek to list all cases of unacceptable behavior, but provide examples to help guide our community in thinking through how to respond when we experience these types of behavior, whether directed at ourselves or others.</w:t>
      </w:r>
    </w:p>
    <w:p>
      <w:r>
        <w:t xml:space="preserve">If you are unsure if something is appropriate behavior, it probably isn’t. Each person you interact with can define where that line is for them.</w:t>
      </w:r>
      <w:r>
        <w:t xml:space="preserve"> </w:t>
      </w:r>
      <w:r>
        <w:rPr>
          <w:i/>
        </w:rPr>
        <w:t xml:space="preserve">Impact matters more than intent.</w:t>
      </w:r>
      <w:r>
        <w:t xml:space="preserve"> </w:t>
      </w:r>
      <w:r>
        <w:t xml:space="preserve">Ensuring that your behavior does not have a negative impact is your responsibility. Problems happen when we assume that our way of thinking or behaving is the norm or ok with everyone. This is particularly problematic when we are in a position of power or privilege.</w:t>
      </w:r>
    </w:p>
    <w:p>
      <w:r>
        <w:t xml:space="preserve">Here are a few examples of unacceptable behavior:</w:t>
      </w:r>
    </w:p>
    <w:p>
      <w:pPr>
        <w:numPr>
          <w:numId w:val="2"/>
          <w:ilvl w:val="0"/>
        </w:numPr>
      </w:pPr>
      <w:r>
        <w:t xml:space="preserve">Negative or offensive remarks based on the protected classes as listed in the</w:t>
      </w:r>
      <w:r>
        <w:t xml:space="preserve"> </w:t>
      </w:r>
      <w:hyperlink r:id="rId27">
        <w:r>
          <w:rPr>
            <w:rStyle w:val="Link"/>
          </w:rPr>
          <w:t xml:space="preserve">GSA Anti-harassment Policy</w:t>
        </w:r>
      </w:hyperlink>
      <w:r>
        <w:t xml:space="preserve"> </w:t>
      </w:r>
      <w:r>
        <w:t xml:space="preserve">of race, religion, color, sex (with or without sexual conduct and including pregnancy and sexual orientation involving transgender status/gender identity, and sex-stereotyping), national origin, age, disability (physical or mental), genetic information, sexual orientation, gender identity, parental status, marital status, and political affiliation</w:t>
      </w:r>
      <w:r>
        <w:t xml:space="preserve"> </w:t>
      </w:r>
      <w:r>
        <w:rPr>
          <w:b/>
        </w:rPr>
        <w:t xml:space="preserve">as well as</w:t>
      </w:r>
      <w:r>
        <w:t xml:space="preserve"> </w:t>
      </w:r>
      <w:r>
        <w:t xml:space="preserve">gender expression, mental illness, socioeconomic status or background, neuro(a)typicality, physical appearance, body size, or clothing.</w:t>
      </w:r>
      <w:r>
        <w:t xml:space="preserve"> </w:t>
      </w:r>
      <w:r>
        <w:rPr>
          <w:b/>
        </w:rPr>
        <w:t xml:space="preserve">Consider that calling attention to differences can feel alienating.</w:t>
      </w:r>
    </w:p>
    <w:p>
      <w:pPr>
        <w:numPr>
          <w:numId w:val="2"/>
          <w:ilvl w:val="0"/>
        </w:numPr>
      </w:pPr>
      <w:r>
        <w:t xml:space="preserve">Touching people without their affirmative consent.</w:t>
      </w:r>
    </w:p>
    <w:p>
      <w:pPr>
        <w:numPr>
          <w:numId w:val="2"/>
          <w:ilvl w:val="0"/>
        </w:numPr>
      </w:pPr>
      <w:r>
        <w:t xml:space="preserve">Sustained and negative disruption of meetings or talks.</w:t>
      </w:r>
    </w:p>
    <w:p>
      <w:pPr>
        <w:numPr>
          <w:numId w:val="2"/>
          <w:ilvl w:val="0"/>
        </w:numPr>
      </w:pPr>
      <w:r>
        <w:t xml:space="preserve">Patronizing language or behavior.</w:t>
      </w:r>
    </w:p>
    <w:p>
      <w:pPr>
        <w:numPr>
          <w:numId w:val="2"/>
          <w:ilvl w:val="0"/>
        </w:numPr>
      </w:pPr>
      <w:r>
        <w:t xml:space="preserve">Aggressive and micro-aggressive behavior, such as unconstructive criticism, providing corrections that do not improve the conversation (sometimes referred to as "well actually"s), repeatedly interrupting or talking over someone else, feigning surprise at someone’s lack of knowledge or awareness about a topic, or subtle prejudice (for example, comments like “That’s so easy my grandmother could do it.”).</w:t>
      </w:r>
    </w:p>
    <w:p>
      <w:pPr>
        <w:numPr>
          <w:numId w:val="2"/>
          <w:ilvl w:val="0"/>
        </w:numPr>
      </w:pPr>
      <w:r>
        <w:t xml:space="preserve">Referring to people in a way that misidentifies their gender and/or rejects the validity of their gender identity; for instance by using incorrect pronouns or forms of address (misgendering).</w:t>
      </w:r>
    </w:p>
    <w:p>
      <w:pPr>
        <w:numPr>
          <w:numId w:val="2"/>
          <w:ilvl w:val="0"/>
        </w:numPr>
      </w:pPr>
      <w:r>
        <w:t xml:space="preserve">Retaliating against anyone who files a formal complaint that someone has violated these codes or laws.</w:t>
      </w:r>
    </w:p>
    <w:bookmarkStart w:id="28" w:name="drug-alcohol-free-workplace-statement"/>
    <w:p>
      <w:pPr>
        <w:pStyle w:val="Heading3"/>
      </w:pPr>
      <w:r>
        <w:t xml:space="preserve">Drug &amp; Alcohol-Free Workplace Statement</w:t>
      </w:r>
    </w:p>
    <w:bookmarkEnd w:id="28"/>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9" w:name="conflict-of-interest"/>
    <w:p>
      <w:pPr>
        <w:pStyle w:val="Heading3"/>
      </w:pPr>
      <w:r>
        <w:t xml:space="preserve">Conflict of Interest</w:t>
      </w:r>
    </w:p>
    <w:bookmarkEnd w:id="29"/>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30" w:name="professional-conduct"/>
    <w:p>
      <w:pPr>
        <w:pStyle w:val="Heading3"/>
      </w:pPr>
      <w:r>
        <w:t xml:space="preserve">Professional Conduct</w:t>
      </w:r>
    </w:p>
    <w:bookmarkEnd w:id="30"/>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1" w:name="contact-with-the-media"/>
    <w:p>
      <w:pPr>
        <w:pStyle w:val="Heading3"/>
      </w:pPr>
      <w:r>
        <w:t xml:space="preserve">Contact with the Media</w:t>
      </w:r>
    </w:p>
    <w:bookmarkEnd w:id="31"/>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2" w:name="staff-boards"/>
    <w:p>
      <w:pPr>
        <w:pStyle w:val="Heading2"/>
      </w:pPr>
      <w:r>
        <w:t xml:space="preserve">Staff &amp; Boards</w:t>
      </w:r>
    </w:p>
    <w:bookmarkEnd w:id="32"/>
    <w:bookmarkStart w:id="33" w:name="staff"/>
    <w:p>
      <w:pPr>
        <w:pStyle w:val="Heading3"/>
      </w:pPr>
      <w:r>
        <w:t xml:space="preserve">Staff</w:t>
      </w:r>
    </w:p>
    <w:bookmarkEnd w:id="33"/>
    <w:p>
      <w:pPr>
        <w:pStyle w:val="Compact"/>
        <w:numPr>
          <w:numId w:val="3"/>
          <w:ilvl w:val="0"/>
        </w:numPr>
      </w:pPr>
      <w:r>
        <w:t xml:space="preserve">Seamus Kraft, Co-Founder and Executive Director</w:t>
      </w:r>
    </w:p>
    <w:p>
      <w:pPr>
        <w:pStyle w:val="Compact"/>
        <w:numPr>
          <w:numId w:val="3"/>
          <w:ilvl w:val="0"/>
        </w:numPr>
      </w:pPr>
      <w:r>
        <w:t xml:space="preserve">Chris Birk, Lead Developer</w:t>
      </w:r>
    </w:p>
    <w:p>
      <w:pPr>
        <w:pStyle w:val="Compact"/>
        <w:numPr>
          <w:numId w:val="3"/>
          <w:ilvl w:val="0"/>
        </w:numPr>
      </w:pPr>
      <w:r>
        <w:t xml:space="preserve">Bill Hunt, Senior Developer</w:t>
      </w:r>
    </w:p>
    <w:p>
      <w:pPr>
        <w:pStyle w:val="Compact"/>
        <w:numPr>
          <w:numId w:val="3"/>
          <w:ilvl w:val="0"/>
        </w:numPr>
      </w:pPr>
      <w:r>
        <w:t xml:space="preserve">Leili Slutz, Operations Architect</w:t>
      </w:r>
    </w:p>
    <w:p>
      <w:pPr>
        <w:pStyle w:val="Compact"/>
        <w:numPr>
          <w:numId w:val="3"/>
          <w:ilvl w:val="0"/>
        </w:numPr>
      </w:pPr>
      <w:r>
        <w:t xml:space="preserve">Aaron Bartnick, Chief of Operations</w:t>
      </w:r>
    </w:p>
    <w:bookmarkStart w:id="34" w:name="board-of-directors"/>
    <w:p>
      <w:pPr>
        <w:pStyle w:val="Heading3"/>
      </w:pPr>
      <w:r>
        <w:t xml:space="preserve">Board of Directors</w:t>
      </w:r>
    </w:p>
    <w:bookmarkEnd w:id="34"/>
    <w:p>
      <w:pPr>
        <w:pStyle w:val="Compact"/>
        <w:numPr>
          <w:numId w:val="4"/>
          <w:ilvl w:val="0"/>
        </w:numPr>
      </w:pPr>
      <w:r>
        <w:t xml:space="preserve">Congressman Darrell Issa, Chairman</w:t>
      </w:r>
    </w:p>
    <w:p>
      <w:pPr>
        <w:pStyle w:val="Compact"/>
        <w:numPr>
          <w:numId w:val="4"/>
          <w:ilvl w:val="0"/>
        </w:numPr>
      </w:pPr>
      <w:r>
        <w:t xml:space="preserve">Seamus Kraft, Vice-Chairman</w:t>
      </w:r>
    </w:p>
    <w:p>
      <w:pPr>
        <w:pStyle w:val="Compact"/>
        <w:numPr>
          <w:numId w:val="4"/>
          <w:ilvl w:val="0"/>
        </w:numPr>
      </w:pPr>
      <w:r>
        <w:t xml:space="preserve">Rich Hirshberg, Treasurer</w:t>
      </w:r>
    </w:p>
    <w:p>
      <w:pPr>
        <w:pStyle w:val="Compact"/>
        <w:numPr>
          <w:numId w:val="4"/>
          <w:ilvl w:val="0"/>
        </w:numPr>
      </w:pPr>
      <w:r>
        <w:t xml:space="preserve">James Lacy, Counsel</w:t>
      </w:r>
    </w:p>
    <w:p>
      <w:pPr>
        <w:pStyle w:val="Compact"/>
        <w:numPr>
          <w:numId w:val="4"/>
          <w:ilvl w:val="0"/>
        </w:numPr>
      </w:pPr>
      <w:r>
        <w:t xml:space="preserve">Chris Birk, Member</w:t>
      </w:r>
    </w:p>
    <w:p>
      <w:pPr>
        <w:pStyle w:val="Compact"/>
        <w:numPr>
          <w:numId w:val="4"/>
          <w:ilvl w:val="0"/>
        </w:numPr>
      </w:pPr>
      <w:r>
        <w:t xml:space="preserve">Tom Davis, Member</w:t>
      </w:r>
    </w:p>
    <w:p>
      <w:pPr>
        <w:pStyle w:val="Compact"/>
        <w:numPr>
          <w:numId w:val="4"/>
          <w:ilvl w:val="0"/>
        </w:numPr>
      </w:pPr>
      <w:r>
        <w:t xml:space="preserve">Abhi Nemani, Member</w:t>
      </w:r>
    </w:p>
    <w:p>
      <w:pPr>
        <w:pStyle w:val="Compact"/>
        <w:numPr>
          <w:numId w:val="4"/>
          <w:ilvl w:val="0"/>
        </w:numPr>
      </w:pPr>
      <w:r>
        <w:t xml:space="preserve">Lanham Napier, Member</w:t>
      </w:r>
    </w:p>
    <w:bookmarkStart w:id="35" w:name="board-of-advisers"/>
    <w:p>
      <w:pPr>
        <w:pStyle w:val="Heading3"/>
      </w:pPr>
      <w:r>
        <w:t xml:space="preserve">Board of Advisers</w:t>
      </w:r>
    </w:p>
    <w:bookmarkEnd w:id="35"/>
    <w:p>
      <w:pPr>
        <w:pStyle w:val="Compact"/>
        <w:numPr>
          <w:numId w:val="5"/>
          <w:ilvl w:val="0"/>
        </w:numPr>
      </w:pPr>
      <w:r>
        <w:t xml:space="preserve">Scout Addis, Design</w:t>
      </w:r>
    </w:p>
    <w:p>
      <w:pPr>
        <w:pStyle w:val="Compact"/>
        <w:numPr>
          <w:numId w:val="5"/>
          <w:ilvl w:val="0"/>
        </w:numPr>
      </w:pPr>
      <w:r>
        <w:t xml:space="preserve">Jen Yu, Design</w:t>
      </w:r>
    </w:p>
    <w:p>
      <w:pPr>
        <w:pStyle w:val="Compact"/>
        <w:numPr>
          <w:numId w:val="5"/>
          <w:ilvl w:val="0"/>
        </w:numPr>
      </w:pPr>
      <w:r>
        <w:t xml:space="preserve">Joe Trippi, Political Campaigns</w:t>
      </w:r>
    </w:p>
    <w:p>
      <w:pPr>
        <w:pStyle w:val="Compact"/>
        <w:numPr>
          <w:numId w:val="5"/>
          <w:ilvl w:val="0"/>
        </w:numPr>
      </w:pPr>
      <w:r>
        <w:t xml:space="preserve">Karien Bezuidenhout, Shuttleworth Foundation</w:t>
      </w:r>
    </w:p>
    <w:p>
      <w:pPr>
        <w:pStyle w:val="Compact"/>
        <w:numPr>
          <w:numId w:val="5"/>
          <w:ilvl w:val="0"/>
        </w:numPr>
      </w:pPr>
      <w:r>
        <w:t xml:space="preserve">Maggie McKinely, Harvard University</w:t>
      </w:r>
    </w:p>
    <w:bookmarkStart w:id="36" w:name="benefits-compensation"/>
    <w:p>
      <w:pPr>
        <w:pStyle w:val="Heading2"/>
      </w:pPr>
      <w:r>
        <w:t xml:space="preserve">Benefits &amp; Compensation</w:t>
      </w:r>
    </w:p>
    <w:bookmarkEnd w:id="36"/>
    <w:bookmarkStart w:id="37" w:name="payroll"/>
    <w:p>
      <w:pPr>
        <w:pStyle w:val="Heading3"/>
      </w:pPr>
      <w:r>
        <w:t xml:space="preserve">Payroll</w:t>
      </w:r>
    </w:p>
    <w:bookmarkEnd w:id="37"/>
    <w:p>
      <w:r>
        <w:t xml:space="preserve">Administered twice monthly, on the 15th and last day of each month, via direct deposit. The organization's treasurer is available to help with any payroll or benefits questions.</w:t>
      </w:r>
    </w:p>
    <w:bookmarkStart w:id="38" w:name="medical-dental-and-vision-coverage"/>
    <w:p>
      <w:pPr>
        <w:pStyle w:val="Heading3"/>
      </w:pPr>
      <w:r>
        <w:t xml:space="preserve">Medical, Dental and Vision Coverage</w:t>
      </w:r>
    </w:p>
    <w:bookmarkEnd w:id="38"/>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9" w:name="annual-team-member-performance-review-raises-and-bonuses"/>
    <w:p>
      <w:pPr>
        <w:pStyle w:val="Heading3"/>
      </w:pPr>
      <w:r>
        <w:t xml:space="preserve">Annual Team Member Performance Review, Raises, and Bonuses</w:t>
      </w:r>
    </w:p>
    <w:bookmarkEnd w:id="39"/>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40" w:name="covered-expenses-reimbursements"/>
    <w:p>
      <w:pPr>
        <w:pStyle w:val="Heading2"/>
      </w:pPr>
      <w:r>
        <w:t xml:space="preserve">Covered Expenses &amp; Reimbursements</w:t>
      </w:r>
    </w:p>
    <w:bookmarkEnd w:id="40"/>
    <w:bookmarkStart w:id="41" w:name="covered-expenses"/>
    <w:p>
      <w:pPr>
        <w:pStyle w:val="Heading3"/>
      </w:pPr>
      <w:r>
        <w:t xml:space="preserve">Covered Expenses</w:t>
      </w:r>
    </w:p>
    <w:bookmarkEnd w:id="41"/>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6"/>
          <w:ilvl w:val="0"/>
        </w:numPr>
      </w:pPr>
      <w:r>
        <w:t xml:space="preserve">Travel between work meetings and the office.</w:t>
      </w:r>
    </w:p>
    <w:p>
      <w:pPr>
        <w:pStyle w:val="Compact"/>
        <w:numPr>
          <w:numId w:val="6"/>
          <w:ilvl w:val="0"/>
        </w:numPr>
      </w:pPr>
      <w:r>
        <w:t xml:space="preserve">Travel to, from, and during conferences and events.</w:t>
      </w:r>
    </w:p>
    <w:p>
      <w:pPr>
        <w:pStyle w:val="Compact"/>
        <w:numPr>
          <w:numId w:val="6"/>
          <w:ilvl w:val="0"/>
        </w:numPr>
      </w:pPr>
      <w:r>
        <w:t xml:space="preserve">Housing and food during conferences and events.</w:t>
      </w:r>
    </w:p>
    <w:p>
      <w:pPr>
        <w:pStyle w:val="Compact"/>
        <w:numPr>
          <w:numId w:val="6"/>
          <w:ilvl w:val="0"/>
        </w:numPr>
      </w:pPr>
      <w:r>
        <w:t xml:space="preserve">Business-meeting meals and drinks.</w:t>
      </w:r>
    </w:p>
    <w:p>
      <w:pPr>
        <w:pStyle w:val="Compact"/>
        <w:numPr>
          <w:numId w:val="6"/>
          <w:ilvl w:val="0"/>
        </w:numPr>
      </w:pPr>
      <w:r>
        <w:t xml:space="preserve">Office supplies.</w:t>
      </w:r>
    </w:p>
    <w:p>
      <w:pPr>
        <w:pStyle w:val="Compact"/>
        <w:numPr>
          <w:numId w:val="6"/>
          <w:ilvl w:val="0"/>
        </w:numPr>
      </w:pPr>
      <w:r>
        <w:t xml:space="preserve">Organization-specific subscriptions and/or software.</w:t>
      </w:r>
    </w:p>
    <w:p>
      <w:pPr>
        <w:pStyle w:val="Compact"/>
        <w:numPr>
          <w:numId w:val="6"/>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2" w:name="reimbursements"/>
    <w:p>
      <w:pPr>
        <w:pStyle w:val="Heading3"/>
      </w:pPr>
      <w:r>
        <w:t xml:space="preserve">Reimbursements</w:t>
      </w:r>
    </w:p>
    <w:bookmarkEnd w:id="42"/>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7"/>
          <w:ilvl w:val="0"/>
        </w:numPr>
      </w:pPr>
      <w:r>
        <w:t xml:space="preserve">A complete and accurate spreadsheet expense report totaling and classifying your expenditures.</w:t>
      </w:r>
    </w:p>
    <w:p>
      <w:pPr>
        <w:pStyle w:val="Compact"/>
        <w:numPr>
          <w:numId w:val="7"/>
          <w:ilvl w:val="0"/>
        </w:numPr>
      </w:pPr>
      <w:r>
        <w:t xml:space="preserve">A complete and accurate cover letter to the Chairman of the Board of Directors requesting reimbursement.</w:t>
      </w:r>
    </w:p>
    <w:p>
      <w:pPr>
        <w:pStyle w:val="Compact"/>
        <w:numPr>
          <w:numId w:val="7"/>
          <w:ilvl w:val="0"/>
        </w:numPr>
      </w:pPr>
      <w:r>
        <w:t xml:space="preserve">A PDF document that is less than 10MB in size containing receipts for each of the expenses for which you are seeking reimbursement.</w:t>
      </w:r>
    </w:p>
    <w:bookmarkStart w:id="43" w:name="professional-development"/>
    <w:p>
      <w:pPr>
        <w:pStyle w:val="Heading3"/>
      </w:pPr>
      <w:r>
        <w:t xml:space="preserve">Professional Development</w:t>
      </w:r>
    </w:p>
    <w:bookmarkEnd w:id="43"/>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4" w:name="schedule-hours-vacation"/>
    <w:p>
      <w:pPr>
        <w:pStyle w:val="Heading2"/>
      </w:pPr>
      <w:r>
        <w:t xml:space="preserve">Schedule, Hours &amp; Vacation</w:t>
      </w:r>
    </w:p>
    <w:bookmarkEnd w:id="44"/>
    <w:bookmarkStart w:id="45" w:name="office-hours-daily-schedule-absences"/>
    <w:p>
      <w:pPr>
        <w:pStyle w:val="Heading3"/>
      </w:pPr>
      <w:r>
        <w:t xml:space="preserve">Office Hours, Daily Schedule &amp; Absences</w:t>
      </w:r>
    </w:p>
    <w:bookmarkEnd w:id="45"/>
    <w:p>
      <w:r>
        <w:t xml:space="preserve">Employees are expected to work a minimum of 40 hours per week, but we are flexible on where and when that work gets done.</w:t>
      </w:r>
    </w:p>
    <w:p>
      <w:r>
        <w:t xml:space="preserve">Employees should check in on Teamwork by 11 AM EST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6" w:name="vacation-leave-policy"/>
    <w:p>
      <w:pPr>
        <w:pStyle w:val="Heading3"/>
      </w:pPr>
      <w:r>
        <w:t xml:space="preserve">Vacation &amp; Leave Policy</w:t>
      </w:r>
    </w:p>
    <w:bookmarkEnd w:id="46"/>
    <w:p>
      <w:r>
        <w:t xml:space="preserve">We are closed on all Federal holidays and during the week between Christmas and the New Year. We also have a few additional days off, please see</w:t>
      </w:r>
      <w:r>
        <w:t xml:space="preserve"> </w:t>
      </w:r>
      <w:hyperlink r:id="rId47">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8" w:name="sick-days"/>
    <w:p>
      <w:pPr>
        <w:pStyle w:val="Heading3"/>
      </w:pPr>
      <w:r>
        <w:t xml:space="preserve">Sick Days</w:t>
      </w:r>
    </w:p>
    <w:bookmarkEnd w:id="48"/>
    <w:p>
      <w:r>
        <w:t xml:space="preserve">Please notify the team if you are sick and need to take the day off. Even if you are feeling well enough to work, please work from home until you are completely recovered, to avoid spreading illness through our small office.</w:t>
      </w:r>
    </w:p>
    <w:bookmarkStart w:id="49" w:name="how-we-work"/>
    <w:p>
      <w:pPr>
        <w:pStyle w:val="Heading2"/>
      </w:pPr>
      <w:r>
        <w:t xml:space="preserve">How We Work</w:t>
      </w:r>
    </w:p>
    <w:bookmarkEnd w:id="49"/>
    <w:bookmarkStart w:id="50" w:name="email-accounts-document-sharing-password-sharing"/>
    <w:p>
      <w:pPr>
        <w:pStyle w:val="Heading3"/>
      </w:pPr>
      <w:r>
        <w:t xml:space="preserve">Email Accounts, Document Sharing &amp; Password Sharing</w:t>
      </w:r>
    </w:p>
    <w:bookmarkEnd w:id="50"/>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1" w:name="calendars"/>
    <w:p>
      <w:pPr>
        <w:pStyle w:val="Heading3"/>
      </w:pPr>
      <w:r>
        <w:t xml:space="preserve">Calendars</w:t>
      </w:r>
    </w:p>
    <w:bookmarkEnd w:id="51"/>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2" w:name="regular-meetings"/>
    <w:p>
      <w:pPr>
        <w:pStyle w:val="Heading3"/>
      </w:pPr>
      <w:r>
        <w:t xml:space="preserve">Regular Meetings</w:t>
      </w:r>
    </w:p>
    <w:bookmarkEnd w:id="52"/>
    <w:bookmarkStart w:id="53" w:name="weekly-priorities-setting-meeting"/>
    <w:p>
      <w:pPr>
        <w:pStyle w:val="Heading4"/>
      </w:pPr>
      <w:r>
        <w:t xml:space="preserve">Weekly Priorities-Setting Meeting</w:t>
      </w:r>
    </w:p>
    <w:bookmarkEnd w:id="53"/>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4" w:name="weekly-team-lunch"/>
    <w:p>
      <w:pPr>
        <w:pStyle w:val="Heading4"/>
      </w:pPr>
      <w:r>
        <w:t xml:space="preserve">Weekly Team Lunch</w:t>
      </w:r>
    </w:p>
    <w:bookmarkEnd w:id="54"/>
    <w:p>
      <w:pPr>
        <w:pStyle w:val="Compact"/>
        <w:numPr>
          <w:numId w:val="8"/>
          <w:ilvl w:val="0"/>
        </w:numPr>
      </w:pPr>
      <w:r>
        <w:t xml:space="preserve">We have lunch together once a week, just for fun and to catch up.</w:t>
      </w:r>
    </w:p>
    <w:bookmarkStart w:id="55" w:name="tech-breakfasts"/>
    <w:p>
      <w:pPr>
        <w:pStyle w:val="Heading4"/>
      </w:pPr>
      <w:r>
        <w:t xml:space="preserve">Tech Breakfasts</w:t>
      </w:r>
    </w:p>
    <w:bookmarkEnd w:id="55"/>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6" w:name="book-club"/>
    <w:p>
      <w:pPr>
        <w:pStyle w:val="Heading4"/>
      </w:pPr>
      <w:r>
        <w:t xml:space="preserve">Book Club</w:t>
      </w:r>
    </w:p>
    <w:bookmarkEnd w:id="56"/>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7" w:name="tools-services-we-use"/>
    <w:p>
      <w:pPr>
        <w:pStyle w:val="Heading3"/>
      </w:pPr>
      <w:r>
        <w:t xml:space="preserve">Tools &amp; Services We Use</w:t>
      </w:r>
    </w:p>
    <w:bookmarkEnd w:id="57"/>
    <w:bookmarkStart w:id="58" w:name="teamwork"/>
    <w:p>
      <w:pPr>
        <w:pStyle w:val="Heading4"/>
      </w:pPr>
      <w:r>
        <w:t xml:space="preserve">Teamwork</w:t>
      </w:r>
    </w:p>
    <w:bookmarkEnd w:id="58"/>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9" w:name="slack"/>
    <w:p>
      <w:pPr>
        <w:pStyle w:val="Heading4"/>
      </w:pPr>
      <w:r>
        <w:t xml:space="preserve">Slack</w:t>
      </w:r>
    </w:p>
    <w:bookmarkEnd w:id="59"/>
    <w:p>
      <w:r>
        <w:t xml:space="preserve">For team chat.</w:t>
      </w:r>
    </w:p>
    <w:bookmarkStart w:id="60" w:name="uberconference"/>
    <w:p>
      <w:pPr>
        <w:pStyle w:val="Heading4"/>
      </w:pPr>
      <w:r>
        <w:t xml:space="preserve">UberConference</w:t>
      </w:r>
    </w:p>
    <w:bookmarkEnd w:id="60"/>
    <w:p>
      <w:r>
        <w:t xml:space="preserve">For group calls. Please enter calls on the Phone Conference calendar to avoid double-booking the line.</w:t>
      </w:r>
    </w:p>
    <w:bookmarkStart w:id="61" w:name="appear.in-skype"/>
    <w:p>
      <w:pPr>
        <w:pStyle w:val="Heading4"/>
      </w:pPr>
      <w:r>
        <w:t xml:space="preserve">Appear.in, Skype</w:t>
      </w:r>
    </w:p>
    <w:bookmarkEnd w:id="61"/>
    <w:p>
      <w:r>
        <w:t xml:space="preserve">For group video chats. Please enter appear.in calls on the Video Conference calendar to avoid double-booking the service.</w:t>
      </w:r>
    </w:p>
    <w:bookmarkStart w:id="62" w:name="google-calendar"/>
    <w:p>
      <w:pPr>
        <w:pStyle w:val="Heading4"/>
      </w:pPr>
      <w:r>
        <w:t xml:space="preserve">Google Calendar</w:t>
      </w:r>
    </w:p>
    <w:bookmarkEnd w:id="62"/>
    <w:p>
      <w:r>
        <w:t xml:space="preserve">Please keep your availability updated on your Google Calendar for the organization.</w:t>
      </w:r>
    </w:p>
    <w:bookmarkStart w:id="63" w:name="google-docs"/>
    <w:p>
      <w:pPr>
        <w:pStyle w:val="Heading4"/>
      </w:pPr>
      <w:r>
        <w:t xml:space="preserve">Google Docs</w:t>
      </w:r>
    </w:p>
    <w:bookmarkEnd w:id="63"/>
    <w:p>
      <w:r>
        <w:t xml:space="preserve">For group collaboration on written materials, call agendas, our budget tracking document, etc. etc.</w:t>
      </w:r>
    </w:p>
    <w:bookmarkStart w:id="64" w:name="hackpad"/>
    <w:p>
      <w:pPr>
        <w:pStyle w:val="Heading4"/>
      </w:pPr>
      <w:r>
        <w:t xml:space="preserve">Hackpad</w:t>
      </w:r>
    </w:p>
    <w:bookmarkEnd w:id="64"/>
    <w:p>
      <w:r>
        <w:t xml:space="preserve">Alternative to above. Has a handy checklist feature. We also use this for hackathon coordination.</w:t>
      </w:r>
    </w:p>
    <w:bookmarkStart w:id="65" w:name="github"/>
    <w:p>
      <w:pPr>
        <w:pStyle w:val="Heading4"/>
      </w:pPr>
      <w:r>
        <w:t xml:space="preserve">GitHub</w:t>
      </w:r>
    </w:p>
    <w:bookmarkEnd w:id="65"/>
    <w:p>
      <w:r>
        <w:t xml:space="preserve">All of our work is open source and up on GitHub. Most projects should have an Apache 2, MIT, or LGPL 3 license; most resources should be released as CC-0.</w:t>
      </w:r>
    </w:p>
    <w:bookmarkStart w:id="66" w:name="disqus"/>
    <w:p>
      <w:pPr>
        <w:pStyle w:val="Heading4"/>
      </w:pPr>
      <w:r>
        <w:t xml:space="preserve">Disqus</w:t>
      </w:r>
    </w:p>
    <w:bookmarkEnd w:id="66"/>
    <w:p>
      <w:r>
        <w:t xml:space="preserve">Used for comments on America Decoded sites. We try to respond to non-spam comments within 24 hours.</w:t>
      </w:r>
    </w:p>
    <w:bookmarkStart w:id="67" w:name="uservoice"/>
    <w:p>
      <w:pPr>
        <w:pStyle w:val="Heading4"/>
      </w:pPr>
      <w:r>
        <w:t xml:space="preserve">Uservoice</w:t>
      </w:r>
    </w:p>
    <w:bookmarkEnd w:id="67"/>
    <w:p>
      <w:r>
        <w:t xml:space="preserve">For technical issues from Madison and State Decoded sites. We try to respond to questions and tech support issues within 24 hours.</w:t>
      </w:r>
    </w:p>
    <w:bookmarkStart w:id="68" w:name="passpack"/>
    <w:p>
      <w:pPr>
        <w:pStyle w:val="Heading4"/>
      </w:pPr>
      <w:r>
        <w:t xml:space="preserve">Passpack</w:t>
      </w:r>
    </w:p>
    <w:bookmarkEnd w:id="68"/>
    <w:p>
      <w:r>
        <w:t xml:space="preserve">For password storage. Please create your own Passpack account and connect with the main organization account. Any time you create an account relevant to our work, please share the password with the organization on Passpack.</w:t>
      </w:r>
    </w:p>
    <w:bookmarkStart w:id="69" w:name="recommended-reading"/>
    <w:p>
      <w:pPr>
        <w:pStyle w:val="Heading2"/>
      </w:pPr>
      <w:r>
        <w:t xml:space="preserve">Recommended Reading</w:t>
      </w:r>
    </w:p>
    <w:bookmarkEnd w:id="69"/>
    <w:p>
      <w:pPr>
        <w:pStyle w:val="Compact"/>
        <w:numPr>
          <w:numId w:val="9"/>
          <w:ilvl w:val="0"/>
        </w:numPr>
      </w:pPr>
      <w:r>
        <w:t xml:space="preserve">Remote: Office Not Required ( specific chapters )</w:t>
      </w:r>
    </w:p>
    <w:p>
      <w:pPr>
        <w:pStyle w:val="Compact"/>
        <w:numPr>
          <w:numId w:val="9"/>
          <w:ilvl w:val="0"/>
        </w:numPr>
      </w:pPr>
      <w:r>
        <w:t xml:space="preserve">How to Collaborate Remotely</w:t>
      </w:r>
    </w:p>
    <w:p>
      <w:pPr>
        <w:pStyle w:val="Compact"/>
        <w:numPr>
          <w:numId w:val="9"/>
          <w:ilvl w:val="0"/>
        </w:numPr>
      </w:pPr>
      <w:r>
        <w:t xml:space="preserve">Beware the Dragons</w:t>
      </w:r>
    </w:p>
    <w:p>
      <w:pPr>
        <w:pStyle w:val="Compact"/>
        <w:numPr>
          <w:numId w:val="9"/>
          <w:ilvl w:val="0"/>
        </w:numPr>
      </w:pPr>
      <w:r>
        <w:t xml:space="preserve">Managing Remote Workers</w:t>
      </w:r>
    </w:p>
    <w:p>
      <w:pPr>
        <w:pStyle w:val="Compact"/>
        <w:numPr>
          <w:numId w:val="9"/>
          <w:ilvl w:val="0"/>
        </w:numPr>
      </w:pPr>
      <w:r>
        <w:t xml:space="preserve">Life as a Remote Worker</w:t>
      </w:r>
    </w:p>
    <w:p>
      <w:pPr>
        <w:pStyle w:val="Compact"/>
        <w:numPr>
          <w:numId w:val="9"/>
          <w:ilvl w:val="0"/>
        </w:numPr>
      </w:pPr>
      <w:r>
        <w:t xml:space="preserve">Dealing with Excuses</w:t>
      </w:r>
    </w:p>
    <w:p>
      <w:pPr>
        <w:pStyle w:val="Compact"/>
        <w:numPr>
          <w:numId w:val="9"/>
          <w:ilvl w:val="0"/>
        </w:numPr>
      </w:pPr>
      <w:r>
        <w:t xml:space="preserve">The Lean Startup</w:t>
      </w:r>
    </w:p>
    <w:p>
      <w:pPr>
        <w:pStyle w:val="Compact"/>
        <w:numPr>
          <w:numId w:val="9"/>
          <w:ilvl w:val="0"/>
        </w:numPr>
      </w:pPr>
      <w:r>
        <w:t xml:space="preserve">Don't Make Me Think</w:t>
      </w:r>
    </w:p>
    <w:p>
      <w:r>
        <w:t xml:space="preserve">Also see</w:t>
      </w:r>
      <w:r>
        <w:t xml:space="preserve"> </w:t>
      </w:r>
      <w:hyperlink r:id="rId70">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103f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9ef0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95088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olidays.md" TargetMode="External" /><Relationship Type="http://schemas.openxmlformats.org/officeDocument/2006/relationships/hyperlink" Id="rId27" Target="http://www.gsa.gov/portal/directive/d0/content/663070" TargetMode="External" /><Relationship Type="http://schemas.openxmlformats.org/officeDocument/2006/relationships/hyperlink" Id="rId70"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7" Target="holidays.md" TargetMode="External" /><Relationship Type="http://schemas.openxmlformats.org/officeDocument/2006/relationships/hyperlink" Id="rId27" Target="http://www.gsa.gov/portal/directive/d0/content/663070" TargetMode="External" /><Relationship Type="http://schemas.openxmlformats.org/officeDocument/2006/relationships/hyperlink" Id="rId70"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