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Unit and Integration Test Documentation</w:t>
      </w:r>
    </w:p>
    <w:p/>
    <w:p>
      <w:pPr>
        <w:pStyle w:val="Heading2"/>
      </w:pPr>
      <w:r>
        <w:t>Actual Test Files Used</w:t>
      </w:r>
    </w:p>
    <w:p/>
    <w:p>
      <w:r>
        <w:t>These are the actual Jest test files from the main GitHub handover repository.</w:t>
      </w:r>
    </w:p>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F6F9B"/>
          </w:tcPr>
          <w:p>
            <w:r>
              <w:rPr>
                <w:b/>
                <w:color w:val="FFFFFF"/>
                <w:sz w:val="16"/>
              </w:rPr>
              <w:t>Test file</w:t>
            </w:r>
          </w:p>
        </w:tc>
        <w:tc>
          <w:tcPr>
            <w:tcW w:type="dxa" w:w="3389"/>
            <w:shd w:fill="1F6F9B"/>
          </w:tcPr>
          <w:p>
            <w:r>
              <w:rPr>
                <w:b/>
                <w:color w:val="FFFFFF"/>
                <w:sz w:val="16"/>
              </w:rPr>
              <w:t>Main responsibility</w:t>
            </w:r>
          </w:p>
        </w:tc>
        <w:tc>
          <w:tcPr>
            <w:tcW w:type="dxa" w:w="3389"/>
            <w:shd w:fill="1F6F9B"/>
          </w:tcPr>
          <w:p>
            <w:r>
              <w:rPr>
                <w:b/>
                <w:color w:val="FFFFFF"/>
                <w:sz w:val="16"/>
              </w:rPr>
              <w:t>Student submission explanation</w:t>
            </w:r>
          </w:p>
        </w:tc>
      </w:tr>
      <w:tr>
        <w:tc>
          <w:tcPr>
            <w:tcW w:type="dxa" w:w="3389"/>
            <w:vAlign w:val="center"/>
          </w:tcPr>
          <w:p>
            <w:pPr>
              <w:spacing w:after="0"/>
            </w:pPr>
            <w:r>
              <w:rPr>
                <w:sz w:val="16"/>
              </w:rPr>
              <w:t>`tests/unit/Backend/auth.test.js`</w:t>
            </w:r>
          </w:p>
        </w:tc>
        <w:tc>
          <w:tcPr>
            <w:tcW w:type="dxa" w:w="3389"/>
            <w:vAlign w:val="center"/>
          </w:tcPr>
          <w:p>
            <w:pPr>
              <w:spacing w:after="0"/>
            </w:pPr>
            <w:r>
              <w:rPr>
                <w:sz w:val="16"/>
              </w:rPr>
              <w:t>Authentication and profile logic.</w:t>
            </w:r>
          </w:p>
        </w:tc>
        <w:tc>
          <w:tcPr>
            <w:tcW w:type="dxa" w:w="3389"/>
            <w:vAlign w:val="center"/>
          </w:tcPr>
          <w:p>
            <w:pPr>
              <w:spacing w:after="0"/>
            </w:pPr>
            <w:r>
              <w:rPr>
                <w:sz w:val="16"/>
              </w:rPr>
              <w:t>Proves that signup, login, OTP, OAuth, profile updates, campus info, password changes, and password recovery behave correctly.</w:t>
            </w:r>
          </w:p>
        </w:tc>
      </w:tr>
      <w:tr>
        <w:tc>
          <w:tcPr>
            <w:tcW w:type="dxa" w:w="3389"/>
            <w:vAlign w:val="center"/>
          </w:tcPr>
          <w:p>
            <w:pPr>
              <w:spacing w:after="0"/>
            </w:pPr>
            <w:r>
              <w:rPr>
                <w:sz w:val="16"/>
              </w:rPr>
              <w:t>`tests/unit/Backend/listings.test.js`</w:t>
            </w:r>
          </w:p>
        </w:tc>
        <w:tc>
          <w:tcPr>
            <w:tcW w:type="dxa" w:w="3389"/>
            <w:vAlign w:val="center"/>
          </w:tcPr>
          <w:p>
            <w:pPr>
              <w:spacing w:after="0"/>
            </w:pPr>
            <w:r>
              <w:rPr>
                <w:sz w:val="16"/>
              </w:rPr>
              <w:t>Marketplace listing service logic.</w:t>
            </w:r>
          </w:p>
        </w:tc>
        <w:tc>
          <w:tcPr>
            <w:tcW w:type="dxa" w:w="3389"/>
            <w:vAlign w:val="center"/>
          </w:tcPr>
          <w:p>
            <w:pPr>
              <w:spacing w:after="0"/>
            </w:pPr>
            <w:r>
              <w:rPr>
                <w:sz w:val="16"/>
              </w:rPr>
              <w:t>Proves that students can retrieve, save, create, update, delete, and upload images for listings, and that seller dashboard metrics are calculated.</w:t>
            </w:r>
          </w:p>
        </w:tc>
      </w:tr>
      <w:tr>
        <w:tc>
          <w:tcPr>
            <w:tcW w:type="dxa" w:w="3389"/>
            <w:vAlign w:val="center"/>
          </w:tcPr>
          <w:p>
            <w:pPr>
              <w:spacing w:after="0"/>
            </w:pPr>
            <w:r>
              <w:rPr>
                <w:sz w:val="16"/>
              </w:rPr>
              <w:t>`tests/unit/Backend/messaging-admin.test.js`</w:t>
            </w:r>
          </w:p>
        </w:tc>
        <w:tc>
          <w:tcPr>
            <w:tcW w:type="dxa" w:w="3389"/>
            <w:vAlign w:val="center"/>
          </w:tcPr>
          <w:p>
            <w:pPr>
              <w:spacing w:after="0"/>
            </w:pPr>
            <w:r>
              <w:rPr>
                <w:sz w:val="16"/>
              </w:rPr>
              <w:t>Messaging, reviews, reports, admin, and facility workflows.</w:t>
            </w:r>
          </w:p>
        </w:tc>
        <w:tc>
          <w:tcPr>
            <w:tcW w:type="dxa" w:w="3389"/>
            <w:vAlign w:val="center"/>
          </w:tcPr>
          <w:p>
            <w:pPr>
              <w:spacing w:after="0"/>
            </w:pPr>
            <w:r>
              <w:rPr>
                <w:sz w:val="16"/>
              </w:rPr>
              <w:t>Proves that messages, review validation, report creation, role updates, moderation actions, facility config, bookings, and collection checks are handled.</w:t>
            </w:r>
          </w:p>
        </w:tc>
      </w:tr>
      <w:tr>
        <w:tc>
          <w:tcPr>
            <w:tcW w:type="dxa" w:w="3389"/>
            <w:vAlign w:val="center"/>
          </w:tcPr>
          <w:p>
            <w:pPr>
              <w:spacing w:after="0"/>
            </w:pPr>
            <w:r>
              <w:rPr>
                <w:sz w:val="16"/>
              </w:rPr>
              <w:t>`tests/unit/Backend/app-utilities.test.js`</w:t>
            </w:r>
          </w:p>
        </w:tc>
        <w:tc>
          <w:tcPr>
            <w:tcW w:type="dxa" w:w="3389"/>
            <w:vAlign w:val="center"/>
          </w:tcPr>
          <w:p>
            <w:pPr>
              <w:spacing w:after="0"/>
            </w:pPr>
            <w:r>
              <w:rPr>
                <w:sz w:val="16"/>
              </w:rPr>
              <w:t>Shared app logic.</w:t>
            </w:r>
          </w:p>
        </w:tc>
        <w:tc>
          <w:tcPr>
            <w:tcW w:type="dxa" w:w="3389"/>
            <w:vAlign w:val="center"/>
          </w:tcPr>
          <w:p>
            <w:pPr>
              <w:spacing w:after="0"/>
            </w:pPr>
            <w:r>
              <w:rPr>
                <w:sz w:val="16"/>
              </w:rPr>
              <w:t>Proves that roles, page permissions, feature access, formatting, local storage, debouncing, notifications, image URLs, and page detection work.</w:t>
            </w:r>
          </w:p>
        </w:tc>
      </w:tr>
      <w:tr>
        <w:tc>
          <w:tcPr>
            <w:tcW w:type="dxa" w:w="3389"/>
            <w:vAlign w:val="center"/>
          </w:tcPr>
          <w:p>
            <w:pPr>
              <w:spacing w:after="0"/>
            </w:pPr>
            <w:r>
              <w:rPr>
                <w:sz w:val="16"/>
              </w:rPr>
              <w:t>`tests/unit/Frontend/components.test.js`</w:t>
            </w:r>
          </w:p>
        </w:tc>
        <w:tc>
          <w:tcPr>
            <w:tcW w:type="dxa" w:w="3389"/>
            <w:vAlign w:val="center"/>
          </w:tcPr>
          <w:p>
            <w:pPr>
              <w:spacing w:after="0"/>
            </w:pPr>
            <w:r>
              <w:rPr>
                <w:sz w:val="16"/>
              </w:rPr>
              <w:t>UI component helpers.</w:t>
            </w:r>
          </w:p>
        </w:tc>
        <w:tc>
          <w:tcPr>
            <w:tcW w:type="dxa" w:w="3389"/>
            <w:vAlign w:val="center"/>
          </w:tcPr>
          <w:p>
            <w:pPr>
              <w:spacing w:after="0"/>
            </w:pPr>
            <w:r>
              <w:rPr>
                <w:sz w:val="16"/>
              </w:rPr>
              <w:t>Proves that icons, toast messages, dropdowns, and mobile sidebar behaviour work and fail gracefully when elements are missing.</w:t>
            </w:r>
          </w:p>
        </w:tc>
      </w:tr>
      <w:tr>
        <w:tc>
          <w:tcPr>
            <w:tcW w:type="dxa" w:w="3389"/>
            <w:vAlign w:val="center"/>
          </w:tcPr>
          <w:p>
            <w:pPr>
              <w:spacing w:after="0"/>
            </w:pPr>
            <w:r>
              <w:rPr>
                <w:sz w:val="16"/>
              </w:rPr>
              <w:t>`tests/unit/Frontend/comprehensive.test.js`</w:t>
            </w:r>
          </w:p>
        </w:tc>
        <w:tc>
          <w:tcPr>
            <w:tcW w:type="dxa" w:w="3389"/>
            <w:vAlign w:val="center"/>
          </w:tcPr>
          <w:p>
            <w:pPr>
              <w:spacing w:after="0"/>
            </w:pPr>
            <w:r>
              <w:rPr>
                <w:sz w:val="16"/>
              </w:rPr>
              <w:t>Page structure checks.</w:t>
            </w:r>
          </w:p>
        </w:tc>
        <w:tc>
          <w:tcPr>
            <w:tcW w:type="dxa" w:w="3389"/>
            <w:vAlign w:val="center"/>
          </w:tcPr>
          <w:p>
            <w:pPr>
              <w:spacing w:after="0"/>
            </w:pPr>
            <w:r>
              <w:rPr>
                <w:sz w:val="16"/>
              </w:rPr>
              <w:t>Proves that the login, signup, search, and profile pages contain the required form elements and basic interactions.</w:t>
            </w:r>
          </w:p>
        </w:tc>
      </w:tr>
      <w:tr>
        <w:tc>
          <w:tcPr>
            <w:tcW w:type="dxa" w:w="3389"/>
            <w:vAlign w:val="center"/>
          </w:tcPr>
          <w:p>
            <w:pPr>
              <w:spacing w:after="0"/>
            </w:pPr>
            <w:r>
              <w:rPr>
                <w:sz w:val="16"/>
              </w:rPr>
              <w:t>`tests/unit/Frontend/formatters.test.js`</w:t>
            </w:r>
          </w:p>
        </w:tc>
        <w:tc>
          <w:tcPr>
            <w:tcW w:type="dxa" w:w="3389"/>
            <w:vAlign w:val="center"/>
          </w:tcPr>
          <w:p>
            <w:pPr>
              <w:spacing w:after="0"/>
            </w:pPr>
            <w:r>
              <w:rPr>
                <w:sz w:val="16"/>
              </w:rPr>
              <w:t>Formatting helpers.</w:t>
            </w:r>
          </w:p>
        </w:tc>
        <w:tc>
          <w:tcPr>
            <w:tcW w:type="dxa" w:w="3389"/>
            <w:vAlign w:val="center"/>
          </w:tcPr>
          <w:p>
            <w:pPr>
              <w:spacing w:after="0"/>
            </w:pPr>
            <w:r>
              <w:rPr>
                <w:sz w:val="16"/>
              </w:rPr>
              <w:t>Proves that prices, dates, status labels, and escaped HTML are formatted safely.</w:t>
            </w:r>
          </w:p>
        </w:tc>
      </w:tr>
      <w:tr>
        <w:tc>
          <w:tcPr>
            <w:tcW w:type="dxa" w:w="3389"/>
            <w:vAlign w:val="center"/>
          </w:tcPr>
          <w:p>
            <w:pPr>
              <w:spacing w:after="0"/>
            </w:pPr>
            <w:r>
              <w:rPr>
                <w:sz w:val="16"/>
              </w:rPr>
              <w:t>`tests/unit/Frontend/navigation.test.js`</w:t>
            </w:r>
          </w:p>
        </w:tc>
        <w:tc>
          <w:tcPr>
            <w:tcW w:type="dxa" w:w="3389"/>
            <w:vAlign w:val="center"/>
          </w:tcPr>
          <w:p>
            <w:pPr>
              <w:spacing w:after="0"/>
            </w:pPr>
            <w:r>
              <w:rPr>
                <w:sz w:val="16"/>
              </w:rPr>
              <w:t>Dynamic navigation.</w:t>
            </w:r>
          </w:p>
        </w:tc>
        <w:tc>
          <w:tcPr>
            <w:tcW w:type="dxa" w:w="3389"/>
            <w:vAlign w:val="center"/>
          </w:tcPr>
          <w:p>
            <w:pPr>
              <w:spacing w:after="0"/>
            </w:pPr>
            <w:r>
              <w:rPr>
                <w:sz w:val="16"/>
              </w:rPr>
              <w:t>Proves that navigation changes correctly for buyer, seller, staff, and admin users, including unread message badges.</w:t>
            </w:r>
          </w:p>
        </w:tc>
      </w:tr>
      <w:tr>
        <w:tc>
          <w:tcPr>
            <w:tcW w:type="dxa" w:w="3389"/>
            <w:vAlign w:val="center"/>
          </w:tcPr>
          <w:p>
            <w:pPr>
              <w:spacing w:after="0"/>
            </w:pPr>
            <w:r>
              <w:rPr>
                <w:sz w:val="16"/>
              </w:rPr>
              <w:t>`tests/unit/Frontend/rolePermissions.test.js`</w:t>
            </w:r>
          </w:p>
        </w:tc>
        <w:tc>
          <w:tcPr>
            <w:tcW w:type="dxa" w:w="3389"/>
            <w:vAlign w:val="center"/>
          </w:tcPr>
          <w:p>
            <w:pPr>
              <w:spacing w:after="0"/>
            </w:pPr>
            <w:r>
              <w:rPr>
                <w:sz w:val="16"/>
              </w:rPr>
              <w:t>Frontend role permissions.</w:t>
            </w:r>
          </w:p>
        </w:tc>
        <w:tc>
          <w:tcPr>
            <w:tcW w:type="dxa" w:w="3389"/>
            <w:vAlign w:val="center"/>
          </w:tcPr>
          <w:p>
            <w:pPr>
              <w:spacing w:after="0"/>
            </w:pPr>
            <w:r>
              <w:rPr>
                <w:sz w:val="16"/>
              </w:rPr>
              <w:t>Proves that allowed pages, landing pages, and features match each user role.</w:t>
            </w:r>
          </w:p>
        </w:tc>
      </w:tr>
      <w:tr>
        <w:tc>
          <w:tcPr>
            <w:tcW w:type="dxa" w:w="3389"/>
            <w:vAlign w:val="center"/>
          </w:tcPr>
          <w:p>
            <w:pPr>
              <w:spacing w:after="0"/>
            </w:pPr>
            <w:r>
              <w:rPr>
                <w:sz w:val="16"/>
              </w:rPr>
              <w:t>`tests/unit/Frontend/validators.test.js`</w:t>
            </w:r>
          </w:p>
        </w:tc>
        <w:tc>
          <w:tcPr>
            <w:tcW w:type="dxa" w:w="3389"/>
            <w:vAlign w:val="center"/>
          </w:tcPr>
          <w:p>
            <w:pPr>
              <w:spacing w:after="0"/>
            </w:pPr>
            <w:r>
              <w:rPr>
                <w:sz w:val="16"/>
              </w:rPr>
              <w:t>Form validation.</w:t>
            </w:r>
          </w:p>
        </w:tc>
        <w:tc>
          <w:tcPr>
            <w:tcW w:type="dxa" w:w="3389"/>
            <w:vAlign w:val="center"/>
          </w:tcPr>
          <w:p>
            <w:pPr>
              <w:spacing w:after="0"/>
            </w:pPr>
            <w:r>
              <w:rPr>
                <w:sz w:val="16"/>
              </w:rPr>
              <w:t>Proves that invalid emails, passwords, prices, required fields, and student numbers are rejected.</w:t>
            </w:r>
          </w:p>
        </w:tc>
      </w:tr>
    </w:tbl>
    <w:p/>
    <w:p/>
    <w:p>
      <w:pPr>
        <w:pStyle w:val="Heading2"/>
      </w:pPr>
      <w:r>
        <w:t>Unit Testing Coverage</w:t>
      </w:r>
    </w:p>
    <w:p/>
    <w:p>
      <w:r>
        <w:t>The unit tests check individual functions such as validateEmail, validatePassword, formatPrice, getAllowedPages, hasFeature, showToast, and renderNavItem. These tests are fast and repeatable, which makes them useful for proving that core functions still work after code changes.</w:t>
      </w:r>
    </w:p>
    <w:p/>
    <w:p>
      <w:pPr>
        <w:pStyle w:val="Heading2"/>
      </w:pPr>
      <w:r>
        <w:t>Integration-Style Coverage</w:t>
      </w:r>
    </w:p>
    <w:p/>
    <w:p>
      <w:r>
        <w:t>The backend service tests act as integration-style tests because they check how several pieces of logic behave together around mocked Supabase responses. For example, the listing tests do not only check a single line of code; they check full service behaviours such as fallback queries, image upload responses, and dashboard metric calculations.</w:t>
      </w:r>
    </w:p>
    <w:p/>
    <w:p>
      <w:pPr>
        <w:pStyle w:val="Heading2"/>
      </w:pPr>
      <w:r>
        <w:t>Final Automated Result</w:t>
      </w:r>
    </w:p>
    <w:p/>
    <w:p>
      <w:pPr>
        <w:shd w:fill="F3F4F6"/>
      </w:pPr>
      <w:r>
        <w:rPr>
          <w:rFonts w:ascii="Consolas" w:hAnsi="Consolas"/>
          <w:sz w:val="17"/>
        </w:rPr>
        <w:t>Test Suites: 10 passed, 10 total</w:t>
        <w:br/>
      </w:r>
      <w:r>
        <w:rPr>
          <w:rFonts w:ascii="Consolas" w:hAnsi="Consolas"/>
          <w:sz w:val="17"/>
        </w:rPr>
        <w:t>Tests:       300 passed, 300 total</w:t>
        <w:br/>
      </w:r>
      <w:r>
        <w:rPr>
          <w:rFonts w:ascii="Consolas" w:hAnsi="Consolas"/>
          <w:sz w:val="17"/>
        </w:rPr>
        <w:t>Snapshots:   0 total</w:t>
        <w:br/>
      </w:r>
      <w:r>
        <w:rPr>
          <w:rFonts w:ascii="Consolas" w:hAnsi="Consolas"/>
          <w:sz w:val="17"/>
        </w:rPr>
        <w:t>Time:        4.233 s</w:t>
        <w:br/>
      </w:r>
      <w:r>
        <w:rPr>
          <w:rFonts w:ascii="Consolas" w:hAnsi="Consolas"/>
          <w:sz w:val="17"/>
        </w:rPr>
        <w:t>Ran all test suites.</w:t>
        <w:br/>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6F9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6F9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6F9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