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Curbside Executive Summary</w:t>
      </w:r>
    </w:p>
    <w:p>
      <w:r>
        <w:t>Non Confidential Executive Summary  |  September 2026</w:t>
      </w:r>
    </w:p>
    <w:p>
      <w:r>
        <w:t>Website: curbsidescore.com  |  Contact: [Name and cell phone]</w:t>
        <w:br/>
        <w:t>University: [University and degree program]  |  Sector: Consumer automotive software</w:t>
      </w:r>
    </w:p>
    <w:p>
      <w:pPr>
        <w:pStyle w:val="Heading2"/>
      </w:pPr>
      <w:r>
        <w:t>Business Summary</w:t>
      </w:r>
    </w:p>
    <w:p>
      <w:r>
        <w:t>Curbside is building a used-car buying platform that guides people through the entire private-party purchase: comparing vehicles, understanding risks, negotiating with sellers, arranging inspections, and connecting with financing and secure transaction services. Our mission is to give buyers the information and support they need to pursue reliable transportation with confidence. We begin with listing evaluation because it is an early decision that shapes every step that follows.</w:t>
      </w:r>
    </w:p>
    <w:p>
      <w:r>
        <w:t>Our first product is a Chrome extension that evaluates Facebook Marketplace car listings and produces a score out of 100, supported by comparable asking prices, vehicle risk indicators, and negotiation guidance. This is the entry point to a broader buying experience. As the platform develops, we plan to connect buyers with purchase-related services and offer our evaluation technology through paid software subscriptions and licensing to credit unions and automotive platforms. The strategy creates a path from individual consumer purchases to recurring business revenue.</w:t>
      </w:r>
    </w:p>
    <w:p>
      <w:pPr>
        <w:pStyle w:val="Heading2"/>
      </w:pPr>
      <w:r>
        <w:t>Customer Problem</w:t>
      </w:r>
    </w:p>
    <w:p>
      <w:r>
        <w:t>Private-party used-car buyers face a major financial decision with incomplete information and limited support. Listings can omit important details, asking prices are difficult to compare, and buyers may lack the experience to recognize warning signs or negotiate effectively. For students, first-time buyers, and budget-conscious households that depend on reliable transportation, a seemingly affordable car can become an expensive mistake.</w:t>
      </w:r>
    </w:p>
    <w:p>
      <w:r>
        <w:t>The difficulty continues after a buyer finds a promising listing. Pricing research, vehicle history, inspections, financing, and transaction logistics are spread across separate providers. Buyers must decide what to check, who to trust, and what to do next. Curbside aims to connect these steps into a clear process, carrying useful vehicle information forward as the buyer moves from research to purchase. The broader opportunity is to support completion of a private-party purchase, beginning with better listing decisions.</w:t>
      </w:r>
    </w:p>
    <w:p>
      <w:pPr>
        <w:pStyle w:val="Heading2"/>
      </w:pPr>
      <w:r>
        <w:t>Value for Buyers and Business Customers</w:t>
      </w:r>
    </w:p>
    <w:p>
      <w:r>
        <w:t>For consumers, the value is clearer decisions and less work throughout a consequential purchase. Evaluation packs and a shopping-period subscription offer an accessible starting point. Over time, access to relevant inspection, financing, and transaction providers could make the platform useful beyond the initial screening stage. These services would extend support at the moments when buyers need to act on what they have learned.</w:t>
      </w:r>
    </w:p>
    <w:p>
      <w:r>
        <w:t>For credit unions and automotive platforms, the proposed value is a buying tool they can offer their own members or customers. A credit union could help a member assess a vehicle before connecting that member with its financing process; an automotive platform could integrate explanations and next steps into its existing experience. Consumer conversion, partner interviews, and paid business pilots will test these propositions. The full purchase platform and institutional offer are planned extensions of the current product.</w:t>
      </w:r>
    </w:p>
    <w:p>
      <w:pPr>
        <w:pStyle w:val="Heading1"/>
        <w:pageBreakBefore/>
      </w:pPr>
      <w:r>
        <w:t>Product Vision and Development</w:t>
      </w:r>
    </w:p>
    <w:p>
      <w:pPr>
        <w:pStyle w:val="Heading2"/>
      </w:pPr>
      <w:r>
        <w:t>Product and Services</w:t>
      </w:r>
    </w:p>
    <w:p>
      <w:r>
        <w:t>The first stage is an evaluation product for active car shoppers. A buyer opens a Marketplace listing and initiates a check. Curbside brings together comparable asking prices, vehicle risk indicators, listing concerns, and negotiation guidance in an explained score out of 100. Saved evaluations help buyers build and revisit a shortlist. Pricing uses observed asking prices, so the result is a comparison benchmark rather than a verified transaction value.</w:t>
      </w:r>
    </w:p>
    <w:p>
      <w:r>
        <w:t>The second stage is a guided purchase experience. We plan to help buyers move from a shortlist to seller questions, vehicle-history research, an independent inspection, financing options, and secure transaction services. For example, a buyer could evaluate a listing, use identified concerns to prepare for an inspection, and then connect with providers needed to complete the purchase. Partner services would be introduced where they solve a demonstrated customer need, with clear responsibility for each step.</w:t>
      </w:r>
    </w:p>
    <w:p>
      <w:r>
        <w:t>The third stage is business distribution. We intend to package Curbside’s evaluation and buying tools for credit unions and automotive platforms through software subscriptions, licensing, and potential integrations. This could place Curbside inside services buyers already use and make the technology available beyond a standalone browser extension. Institutional deployment will require additional integration, support, security, and reporting capabilities; these are development objectives rather than current offerings.</w:t>
      </w:r>
    </w:p>
    <w:p>
      <w:pPr>
        <w:pStyle w:val="Heading2"/>
      </w:pPr>
      <w:r>
        <w:t>Evidence and Remaining Development</w:t>
      </w:r>
    </w:p>
    <w:p>
      <w:r>
        <w:t>The implemented foundation includes listing capture, evaluation, saved results, accounts, pricing plans, and payment integration code. This gives us a concrete starting point for learning how buyers compare vehicles and where they need more support. The next development work will improve reliability and validate the buyer experience while partner discovery identifies which part of the purchase journey to connect first.</w:t>
      </w:r>
    </w:p>
    <w:p>
      <w:r>
        <w:t>An internal review covered 206 captures and 4,133 held-out asking-price predictions, with 15.3% median absolute percentage error. Overall verdict agreement was 38% across 72 scorable labels from one reviewer; those labels reflected purchase and risk judgments rather than independent price estimates. The findings establish a testing baseline and the need for further calibration, independent review, and broader data. They do not establish transaction-price accuracy or verified buyer outcomes. [1]</w:t>
      </w:r>
    </w:p>
    <w:p>
      <w:r>
        <w:t>Development will proceed through measurable stages: reliable evaluations, evidence that buyers act on the guidance, a useful service-provider pilot, and an institutional pilot with a clear purchasing decision. User feedback and partner requirements will determine the sequence. This approach lets the broader platform grow from observed needs rather than requiring every service to be built before the first customer can benefit.</w:t>
      </w:r>
    </w:p>
    <w:p>
      <w:pPr>
        <w:pStyle w:val="Heading2"/>
      </w:pPr>
      <w:r>
        <w:t>Intellectual Property and Responsible Operation</w:t>
      </w:r>
    </w:p>
    <w:p>
      <w:r>
        <w:t>Our intellectual property strategy centers on original software, evaluation methods, data-quality processes, and proprietary know-how. Over time, permitted feedback on inspections and buyer outcomes could improve the guidance. Patent and trademark status, contributor ownership, and external data licenses require confirmation. The business does not depend on an issued patent.</w:t>
      </w:r>
    </w:p>
    <w:p>
      <w:r>
        <w:t>Platform permissions, privacy, and external data rights remain important operating considerations. Future financing and transaction connections would require specialist review of the proposed activities, disclosures, and partner responsibilities. We intend to work with appropriate providers rather than assume that Curbside itself will lend money, inspect vehicles, or hold buyer funds. Referral arrangements should be disclosed and kept separate from evaluation scores. Any environmental benefit from supporting vehicle reuse remains unmeasured.</w:t>
      </w:r>
    </w:p>
    <w:p>
      <w:pPr>
        <w:pStyle w:val="Heading1"/>
        <w:pageBreakBefore/>
      </w:pPr>
      <w:r>
        <w:t>Market and Competitive Position</w:t>
      </w:r>
    </w:p>
    <w:p>
      <w:pPr>
        <w:pStyle w:val="Heading2"/>
      </w:pPr>
      <w:r>
        <w:t>Target Market and Customers</w:t>
      </w:r>
    </w:p>
    <w:p>
      <w:r>
        <w:t>Our initial consumer market is United States private-party used-car buyers, starting with people using Facebook Marketplace on desktop Chrome. Students, first-time buyers, and budget-conscious households are the priority because they need understandable guidance through both vehicle selection and purchase logistics. As the product expands beyond its initial interface, we aim to support buyers across more of the private-party shopping journey.</w:t>
      </w:r>
    </w:p>
    <w:p>
      <w:r>
        <w:t>Cox Automotive’s December 2025 forecast projected 38.3 million United States used-vehicle sales in 2026, down 0.9% from 2025. This provides a broad transaction benchmark rather than a count of Curbside prospects. It includes channels and buyers the initial product cannot serve. Curbside’s opportunity therefore rests on serving an existing, substantial market more effectively, rather than assuming rapid industry growth. [2]</w:t>
      </w:r>
    </w:p>
    <w:p>
      <w:r>
        <w:t>For initial planning, an illustrative reachable segment equal to 5% of the 38.3 million annual transactions would represent approximately 1.915 million shopping episodes. This is an assumption, not a measured count of eligible Marketplace users. At $12 per paying episode, universal payment would imply a theoretical consumer revenue pool of about $23 million; actual revenue would depend on reach and conversion. The initial target is 10,000 activated shoppers and 500 payers, approximately 0.52% and 0.026% of that illustrative segment.</w:t>
      </w:r>
    </w:p>
    <w:p>
      <w:r>
        <w:t>The broader market includes business customers that support vehicle purchases. We plan to approach credit unions interested in member-facing buying tools and automotive platforms interested in integrating evaluation and purchase guidance. Inspection, financing, and transaction providers represent a complementary partner network. Institutional market sizing will depend on the number of qualified organizations, contract values, and adoption; partner revenue will depend on completed service use. Neither is included in the consumer market estimate, avoiding unsupported aggregation.</w:t>
      </w:r>
    </w:p>
    <w:p>
      <w:pPr>
        <w:pStyle w:val="Heading2"/>
      </w:pPr>
      <w:r>
        <w:t>Competitors and Substitutes</w:t>
      </w:r>
    </w:p>
    <w:p>
      <w:r>
        <w:t>Kelley Blue Book offers vehicle values, including private-party values, and benefits from an established automotive brand. CarGurus offers a valuation tool and deal ratings based on market comparisons. CARFAX provides vehicle-history reports that address a different but important part of purchase diligence. Manual research, advice from knowledgeable friends, and a mechanic’s inspection are additional substitutes or complements. [3–5]</w:t>
      </w:r>
    </w:p>
    <w:p>
      <w:r>
        <w:t>Curbside’s proposed position is a connected buying experience that helps the customer act on research. The extension provides a convenient first interaction; the longer-term product would link evaluation with inspection, financing, and transaction support. Free research tools remain strong substitutes, and established automotive brands have important advantages in recognition and data. We will compete on continuity, useful explanations, and ease of taking the next step. Market share within this specific workflow has not been established.</w:t>
      </w:r>
    </w:p>
    <w:p>
      <w:pPr>
        <w:pStyle w:val="Heading2"/>
      </w:pPr>
      <w:r>
        <w:t>Competitive Advantage</w:t>
      </w:r>
    </w:p>
    <w:p>
      <w:r>
        <w:t>Our intended advantage is the combination of buyer guidance, evaluation technology, and distribution through trusted organizations. With permission and appropriate rights, feedback from later purchase steps could improve earlier recommendations. Partner integrations could make Curbside more useful within established customer relationships and reduce reliance on one marketplace. This advantage must be built through reliable results and successful relationships; the current extension alone does not establish a durable competitive barrier.</w:t>
      </w:r>
    </w:p>
    <w:p>
      <w:pPr>
        <w:pStyle w:val="Heading1"/>
        <w:pageBreakBefore/>
      </w:pPr>
      <w:r>
        <w:t>Sales Strategy and Business Model</w:t>
      </w:r>
    </w:p>
    <w:p>
      <w:pPr>
        <w:pStyle w:val="Heading2"/>
      </w:pPr>
      <w:r>
        <w:t>Distribution and Customer Acquisition</w:t>
      </w:r>
    </w:p>
    <w:p>
      <w:r>
        <w:t>We will begin with the Chrome Web Store and Curbside website, using product demonstrations to reach buyers who are already shopping. University networks, relevant automotive communities, educational content, and referrals offer proposed early channels. Marketing will explain how evaluating a listing fits into the larger purchase process, giving customers a reason to return as they narrow their options and prepare to buy.</w:t>
      </w:r>
    </w:p>
    <w:p>
      <w:r>
        <w:t>In parallel, we plan to interview independent inspection providers, credit unions, and automotive platforms. The objective is to identify a focused pilot: one buyer segment, one partner, and a clearly defined improvement to the purchase experience. An inspection pilot could test whether evaluation guidance leads to useful inspection bookings. A credit union pilot could test member use of buying tools alongside the institution’s existing financing process. These are proposed relationships, not signed partnerships.</w:t>
      </w:r>
    </w:p>
    <w:p>
      <w:r>
        <w:t>The illustrative first-year consumer funnel is 50,000 qualified visits, 10,000 activated shoppers, and 500 payers, assuming 20% activation and 5% paid conversion. For partnerships, we will measure completed service use, customer experience, and contribution after support costs. For business software, we will track qualified discussions, pilot completion, paid conversion, and renewal. Acquisition spending will follow evidence from these measures rather than download totals alone.</w:t>
      </w:r>
    </w:p>
    <w:p>
      <w:pPr>
        <w:pStyle w:val="Heading2"/>
      </w:pPr>
      <w:r>
        <w:t>Revenue Model</w:t>
      </w:r>
    </w:p>
    <w:p>
      <w:r>
        <w:t>Current product pricing specifies ten free evaluations on sign-up, a ten-check pack for $7.99, a twenty-check pack for $11.99, and an unlimited monthly plan for $16.99. Purchased pack credits do not expire. This structure matches an episodic purchase: customers can pay for the amount of shopping support they need without a required long-term commitment. Prices are product settings, not evidence of customers’ acceptance. [6]</w:t>
      </w:r>
    </w:p>
    <w:p>
      <w:r>
        <w:t>The second planned revenue stream is partnership income from inspection, financing, and secure transaction services, where commercially and legally appropriate. Commercial terms could be tied to referrals or completed services, depending on the partner and activity. No referral fees or partner agreements are assumed to be in place. Recommendations must remain useful to the buyer, with compensation disclosed and separated from the evaluation methodology.</w:t>
      </w:r>
    </w:p>
    <w:p>
      <w:pPr>
        <w:pStyle w:val="Heading2"/>
      </w:pPr>
      <w:r>
        <w:t>Path to Recurring Business Revenue</w:t>
      </w:r>
    </w:p>
    <w:p>
      <w:r>
        <w:t>The third planned revenue stream is recurring business software subscriptions and licensing. Credit unions and automotive platforms could pay to make Curbside’s tools available to their members or customers. Pricing may reflect usage, organization size, or integration and support requirements. Paid pilots will establish what customers value and what service levels they require. This model creates a route to recurring revenue alongside the episodic consumer purchase.</w:t>
      </w:r>
    </w:p>
    <w:p>
      <w:r>
        <w:t>The financial sequence is deliberate: use the consumer product to validate value, introduce partner services that help buyers complete the process, and develop an institutional offering around demonstrated demand. Business distribution could reduce reliance on repeated direct consumer acquisition, but it introduces longer sales cycles, integration work, and ongoing support. We will evaluate each channel on its own economics before committing to broader expansion.</w:t>
      </w:r>
    </w:p>
    <w:p>
      <w:r>
        <w:t>Consumer revenue can begin once production checkout and fulfillment are verified. Partner and licensing revenue require additional agreements and delivery capability. Current revenue and monthly burn are [insert verified amounts]. The first-year planning budget is $12,000, or $1,000 per month, before founder compensation and taxes. Future business deployment will require a separate budget tied to the scope of a pilot.</w:t>
      </w:r>
    </w:p>
    <w:p>
      <w:pPr>
        <w:pStyle w:val="Heading1"/>
        <w:pageBreakBefore/>
      </w:pPr>
      <w:r>
        <w:t>Team Financial Outlook and Goals</w:t>
      </w:r>
    </w:p>
    <w:p>
      <w:pPr>
        <w:pStyle w:val="Heading2"/>
      </w:pPr>
      <w:r>
        <w:t>Management Team</w:t>
      </w:r>
    </w:p>
    <w:p>
      <w:r>
        <w:t>[Founder name, degree program, and relevant experience] leads the venture. The existing product provides evidence of execution, but the final submission should identify who built it and describe relevant technical, automotive, customer-research, or business experience. Academic advisor: [name]. External advisors: [names or none]. Capital received and sources: [verified amount and source, or none].</w:t>
      </w:r>
    </w:p>
    <w:p>
      <w:r>
        <w:t>The team will combine product development and customer learning with targeted expertise in automotive evaluation, partnerships, security, and regulated service connections. Advisors and specialist engagements can address early gaps before permanent hiring. Customer feedback and pilot results will guide priorities. As the institutional offer develops, business sales and implementation support become key capabilities to add.</w:t>
      </w:r>
    </w:p>
    <w:p>
      <w:pPr>
        <w:pStyle w:val="Heading2"/>
      </w:pPr>
      <w:r>
        <w:t>Illustrative Financial Outlook</w:t>
      </w:r>
    </w:p>
    <w:p>
      <w:r>
        <w:t>This illustrative three-year consumer case uses $12 annual revenue per payer and 5% activated-to-paid conversion. It is a planning scenario, not historical performance. Cash costs exclude founder compensation, taxes, and the additional investment required for institutional deployment. Partnership and licensing revenue are excluded until pilots establish pricing, demand, and delivery costs; the table therefore represents the first product, not the full platform opportunity.</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pPr>
              <w:spacing w:after="60"/>
            </w:pPr>
            <w:r>
              <w:rPr>
                <w:sz w:val="20"/>
              </w:rPr>
              <w:t>US dollars unless noted</w:t>
            </w:r>
          </w:p>
        </w:tc>
        <w:tc>
          <w:tcPr>
            <w:tcW w:type="dxa" w:w="2520"/>
          </w:tcPr>
          <w:p>
            <w:pPr>
              <w:spacing w:after="60"/>
            </w:pPr>
            <w:r>
              <w:rPr>
                <w:sz w:val="20"/>
              </w:rPr>
              <w:t>Year 1</w:t>
            </w:r>
          </w:p>
        </w:tc>
        <w:tc>
          <w:tcPr>
            <w:tcW w:type="dxa" w:w="2520"/>
          </w:tcPr>
          <w:p>
            <w:pPr>
              <w:spacing w:after="60"/>
            </w:pPr>
            <w:r>
              <w:rPr>
                <w:sz w:val="20"/>
              </w:rPr>
              <w:t>Year 2</w:t>
            </w:r>
          </w:p>
        </w:tc>
        <w:tc>
          <w:tcPr>
            <w:tcW w:type="dxa" w:w="2520"/>
          </w:tcPr>
          <w:p>
            <w:pPr>
              <w:spacing w:after="60"/>
            </w:pPr>
            <w:r>
              <w:rPr>
                <w:sz w:val="20"/>
              </w:rPr>
              <w:t>Year 3</w:t>
            </w:r>
          </w:p>
        </w:tc>
      </w:tr>
      <w:tr>
        <w:tc>
          <w:tcPr>
            <w:tcW w:type="dxa" w:w="2520"/>
          </w:tcPr>
          <w:p>
            <w:pPr>
              <w:spacing w:after="60"/>
            </w:pPr>
            <w:r>
              <w:rPr>
                <w:sz w:val="20"/>
              </w:rPr>
              <w:t>Activated shoppers</w:t>
            </w:r>
          </w:p>
        </w:tc>
        <w:tc>
          <w:tcPr>
            <w:tcW w:type="dxa" w:w="2520"/>
          </w:tcPr>
          <w:p>
            <w:pPr>
              <w:spacing w:after="60"/>
            </w:pPr>
            <w:r>
              <w:rPr>
                <w:sz w:val="20"/>
              </w:rPr>
              <w:t>10,000</w:t>
            </w:r>
          </w:p>
        </w:tc>
        <w:tc>
          <w:tcPr>
            <w:tcW w:type="dxa" w:w="2520"/>
          </w:tcPr>
          <w:p>
            <w:pPr>
              <w:spacing w:after="60"/>
            </w:pPr>
            <w:r>
              <w:rPr>
                <w:sz w:val="20"/>
              </w:rPr>
              <w:t>40,000</w:t>
            </w:r>
          </w:p>
        </w:tc>
        <w:tc>
          <w:tcPr>
            <w:tcW w:type="dxa" w:w="2520"/>
          </w:tcPr>
          <w:p>
            <w:pPr>
              <w:spacing w:after="60"/>
            </w:pPr>
            <w:r>
              <w:rPr>
                <w:sz w:val="20"/>
              </w:rPr>
              <w:t>100,000</w:t>
            </w:r>
          </w:p>
        </w:tc>
      </w:tr>
      <w:tr>
        <w:tc>
          <w:tcPr>
            <w:tcW w:type="dxa" w:w="2520"/>
          </w:tcPr>
          <w:p>
            <w:pPr>
              <w:spacing w:after="60"/>
            </w:pPr>
            <w:r>
              <w:rPr>
                <w:sz w:val="20"/>
              </w:rPr>
              <w:t>Paying customers at 5%</w:t>
            </w:r>
          </w:p>
        </w:tc>
        <w:tc>
          <w:tcPr>
            <w:tcW w:type="dxa" w:w="2520"/>
          </w:tcPr>
          <w:p>
            <w:pPr>
              <w:spacing w:after="60"/>
            </w:pPr>
            <w:r>
              <w:rPr>
                <w:sz w:val="20"/>
              </w:rPr>
              <w:t>500</w:t>
            </w:r>
          </w:p>
        </w:tc>
        <w:tc>
          <w:tcPr>
            <w:tcW w:type="dxa" w:w="2520"/>
          </w:tcPr>
          <w:p>
            <w:pPr>
              <w:spacing w:after="60"/>
            </w:pPr>
            <w:r>
              <w:rPr>
                <w:sz w:val="20"/>
              </w:rPr>
              <w:t>2,000</w:t>
            </w:r>
          </w:p>
        </w:tc>
        <w:tc>
          <w:tcPr>
            <w:tcW w:type="dxa" w:w="2520"/>
          </w:tcPr>
          <w:p>
            <w:pPr>
              <w:spacing w:after="60"/>
            </w:pPr>
            <w:r>
              <w:rPr>
                <w:sz w:val="20"/>
              </w:rPr>
              <w:t>5,000</w:t>
            </w:r>
          </w:p>
        </w:tc>
      </w:tr>
      <w:tr>
        <w:tc>
          <w:tcPr>
            <w:tcW w:type="dxa" w:w="2520"/>
          </w:tcPr>
          <w:p>
            <w:pPr>
              <w:spacing w:after="60"/>
            </w:pPr>
            <w:r>
              <w:rPr>
                <w:sz w:val="20"/>
              </w:rPr>
              <w:t>Revenue</w:t>
            </w:r>
          </w:p>
        </w:tc>
        <w:tc>
          <w:tcPr>
            <w:tcW w:type="dxa" w:w="2520"/>
          </w:tcPr>
          <w:p>
            <w:pPr>
              <w:spacing w:after="60"/>
            </w:pPr>
            <w:r>
              <w:rPr>
                <w:sz w:val="20"/>
              </w:rPr>
              <w:t>6,000</w:t>
            </w:r>
          </w:p>
        </w:tc>
        <w:tc>
          <w:tcPr>
            <w:tcW w:type="dxa" w:w="2520"/>
          </w:tcPr>
          <w:p>
            <w:pPr>
              <w:spacing w:after="60"/>
            </w:pPr>
            <w:r>
              <w:rPr>
                <w:sz w:val="20"/>
              </w:rPr>
              <w:t>24,000</w:t>
            </w:r>
          </w:p>
        </w:tc>
        <w:tc>
          <w:tcPr>
            <w:tcW w:type="dxa" w:w="2520"/>
          </w:tcPr>
          <w:p>
            <w:pPr>
              <w:spacing w:after="60"/>
            </w:pPr>
            <w:r>
              <w:rPr>
                <w:sz w:val="20"/>
              </w:rPr>
              <w:t>60,000</w:t>
            </w:r>
          </w:p>
        </w:tc>
      </w:tr>
      <w:tr>
        <w:tc>
          <w:tcPr>
            <w:tcW w:type="dxa" w:w="2520"/>
          </w:tcPr>
          <w:p>
            <w:pPr>
              <w:spacing w:after="60"/>
            </w:pPr>
            <w:r>
              <w:rPr>
                <w:sz w:val="20"/>
              </w:rPr>
              <w:t>Cash expenditure</w:t>
            </w:r>
          </w:p>
        </w:tc>
        <w:tc>
          <w:tcPr>
            <w:tcW w:type="dxa" w:w="2520"/>
          </w:tcPr>
          <w:p>
            <w:pPr>
              <w:spacing w:after="60"/>
            </w:pPr>
            <w:r>
              <w:rPr>
                <w:sz w:val="20"/>
              </w:rPr>
              <w:t>12,000</w:t>
            </w:r>
          </w:p>
        </w:tc>
        <w:tc>
          <w:tcPr>
            <w:tcW w:type="dxa" w:w="2520"/>
          </w:tcPr>
          <w:p>
            <w:pPr>
              <w:spacing w:after="60"/>
            </w:pPr>
            <w:r>
              <w:rPr>
                <w:sz w:val="20"/>
              </w:rPr>
              <w:t>24,000</w:t>
            </w:r>
          </w:p>
        </w:tc>
        <w:tc>
          <w:tcPr>
            <w:tcW w:type="dxa" w:w="2520"/>
          </w:tcPr>
          <w:p>
            <w:pPr>
              <w:spacing w:after="60"/>
            </w:pPr>
            <w:r>
              <w:rPr>
                <w:sz w:val="20"/>
              </w:rPr>
              <w:t>42,000</w:t>
            </w:r>
          </w:p>
        </w:tc>
      </w:tr>
      <w:tr>
        <w:tc>
          <w:tcPr>
            <w:tcW w:type="dxa" w:w="2520"/>
          </w:tcPr>
          <w:p>
            <w:pPr>
              <w:spacing w:after="60"/>
            </w:pPr>
            <w:r>
              <w:rPr>
                <w:sz w:val="20"/>
              </w:rPr>
              <w:t>Cash surplus or deficit</w:t>
            </w:r>
          </w:p>
        </w:tc>
        <w:tc>
          <w:tcPr>
            <w:tcW w:type="dxa" w:w="2520"/>
          </w:tcPr>
          <w:p>
            <w:pPr>
              <w:spacing w:after="60"/>
            </w:pPr>
            <w:r>
              <w:rPr>
                <w:sz w:val="20"/>
              </w:rPr>
              <w:t>(6,000)</w:t>
            </w:r>
          </w:p>
        </w:tc>
        <w:tc>
          <w:tcPr>
            <w:tcW w:type="dxa" w:w="2520"/>
          </w:tcPr>
          <w:p>
            <w:pPr>
              <w:spacing w:after="60"/>
            </w:pPr>
            <w:r>
              <w:rPr>
                <w:sz w:val="20"/>
              </w:rPr>
              <w:t>0</w:t>
            </w:r>
          </w:p>
        </w:tc>
        <w:tc>
          <w:tcPr>
            <w:tcW w:type="dxa" w:w="2520"/>
          </w:tcPr>
          <w:p>
            <w:pPr>
              <w:spacing w:after="60"/>
            </w:pPr>
            <w:r>
              <w:rPr>
                <w:sz w:val="20"/>
              </w:rPr>
              <w:t>18,000</w:t>
            </w:r>
          </w:p>
        </w:tc>
      </w:tr>
    </w:tbl>
    <w:p>
      <w:r>
        <w:t>The consumer case reaches cash break-even in Year 2 before excluded costs. Broader platform planning will add partner revenue as completed services multiplied by net fees, and business revenue as paid organizations multiplied by annual contract value. These inputs and the associated integration and support costs will be established through pilots rather than assumed as committed revenue.</w:t>
      </w:r>
    </w:p>
    <w:p>
      <w:pPr>
        <w:pStyle w:val="Heading2"/>
      </w:pPr>
      <w:r>
        <w:t>Competition Goals and Milestones</w:t>
      </w:r>
    </w:p>
    <w:p>
      <w:r>
        <w:t>At the Hurricane Pitch Competition, we seek [confirm funding amount] in non-dilutive support, pilot customers, and introductions to credit unions, inspection providers, and automotive platforms. An illustrative $10,000 award would allocate $3,000 to evaluation reliability, $2,500 to buyer research and acquisition, $2,500 to a focused partner pilot, and $2,000 to specialist review and contingency. The purpose is to validate the next step toward the broader platform.</w:t>
      </w:r>
    </w:p>
    <w:p>
      <w:r>
        <w:t>Proposed milestones are 20 buyer interviews and a 25-person product pilot within 30 days; initial paid consumer purchases and ten prospective partner interviews within 90 days; and a defined service-provider or institutional pilot within six months. Within twelve months, target 500 consumer payers and evidence sufficient to price a business pilot. Longer-term expansion will follow demonstrated buyer value, partner economics, and institutional willingness to pay.</w:t>
      </w:r>
    </w:p>
    <w:p>
      <w:pPr>
        <w:pStyle w:val="Heading2"/>
      </w:pPr>
      <w:r>
        <w:t>Sources</w:t>
      </w:r>
    </w:p>
    <w:p>
      <w:pPr>
        <w:spacing w:after="60"/>
      </w:pPr>
      <w:r>
        <w:rPr>
          <w:sz w:val="16"/>
        </w:rPr>
        <w:t>[1] Curbside internal calibration review, docs/calibration-pass-1.md; historical internal results, not independently audited.</w:t>
      </w:r>
    </w:p>
    <w:p>
      <w:pPr>
        <w:spacing w:after="60"/>
      </w:pPr>
      <w:r>
        <w:rPr>
          <w:sz w:val="16"/>
        </w:rPr>
        <w:t>[2] Cox Automotive, 2026 Forecasts, December 2025: coxautoinc.com/wp-content/uploads/2025/12/Q4-2025-Cox-Automotive-Industry-Insights-and-2026-Forecast-Call-Presentation.pdf</w:t>
      </w:r>
    </w:p>
    <w:p>
      <w:pPr>
        <w:spacing w:after="60"/>
      </w:pPr>
      <w:r>
        <w:rPr>
          <w:sz w:val="16"/>
        </w:rPr>
        <w:t>[3] Kelley Blue Book: kbb.com/whats-my-car-worth/  [4] CarGurus: cargurus.com/research/car-valuation  [5] CARFAX: carfax.com/vehicle-history-reports/</w:t>
      </w:r>
    </w:p>
    <w:p>
      <w:pPr>
        <w:spacing w:after="60"/>
      </w:pPr>
      <w:r>
        <w:rPr>
          <w:sz w:val="16"/>
        </w:rPr>
        <w:t>[6] Curbside product pricing, curbside-app/lib/plans.ts. Public sources accessed September 29, 2026.</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Curbside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