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pPr>
      <w:r>
        <w:drawing>
          <wp:inline xmlns:a="http://schemas.openxmlformats.org/drawingml/2006/main" xmlns:pic="http://schemas.openxmlformats.org/drawingml/2006/picture">
            <wp:extent cx="411480" cy="411480"/>
            <wp:docPr id="1" name="Picture 1"/>
            <wp:cNvGraphicFramePr>
              <a:graphicFrameLocks noChangeAspect="1"/>
            </wp:cNvGraphicFramePr>
            <a:graphic>
              <a:graphicData uri="http://schemas.openxmlformats.org/drawingml/2006/picture">
                <pic:pic>
                  <pic:nvPicPr>
                    <pic:cNvPr id="0" name="icon128.png"/>
                    <pic:cNvPicPr/>
                  </pic:nvPicPr>
                  <pic:blipFill>
                    <a:blip r:embed="rId10"/>
                    <a:stretch>
                      <a:fillRect/>
                    </a:stretch>
                  </pic:blipFill>
                  <pic:spPr>
                    <a:xfrm>
                      <a:off x="0" y="0"/>
                      <a:ext cx="411480" cy="411480"/>
                    </a:xfrm>
                    <a:prstGeom prst="rect"/>
                  </pic:spPr>
                </pic:pic>
              </a:graphicData>
            </a:graphic>
          </wp:inline>
        </w:drawing>
      </w:r>
      <w:r>
        <w:t xml:space="preserve">  Curbside</w:t>
      </w:r>
    </w:p>
    <w:p>
      <w:pPr>
        <w:pageBreakBefore w:val="0"/>
        <w:spacing w:after="100"/>
      </w:pPr>
      <w:r>
        <w:t>Non-Confidential Executive Summary</w:t>
      </w:r>
    </w:p>
    <w:p>
      <w:pPr>
        <w:pageBreakBefore w:val="0"/>
        <w:spacing w:after="300"/>
      </w:pPr>
      <w:r>
        <w:rPr>
          <w:color w:val="555555"/>
          <w:sz w:val="20"/>
        </w:rPr>
        <w:t>curbsidescore.com  |  Joshua Keoshkerian | (314) 520-9265</w:t>
      </w:r>
    </w:p>
    <w:p>
      <w:pPr>
        <w:pStyle w:val="Heading1"/>
        <w:pageBreakBefore w:val="0"/>
      </w:pPr>
      <w:r>
        <w:t>Business Summary</w:t>
      </w:r>
    </w:p>
    <w:p>
      <w:pPr>
        <w:pageBreakBefore w:val="0"/>
      </w:pPr>
      <w:r>
        <w:t>Founded in 2026, Curbside is building a platform to guide private-party used-car buyers from comparing vehicles and negotiating to arranging inspections, financing, and secure transactions.</w:t>
      </w:r>
    </w:p>
    <w:p>
      <w:pPr>
        <w:pageBreakBefore w:val="0"/>
      </w:pPr>
      <w:r>
        <w:t>Our first product is a Chrome extension that compares asking prices directly across Facebook Marketplace listings. It combines comparable prices, vehicle risk indicators, and negotiation guidance in an explained score out of 100.</w:t>
      </w:r>
    </w:p>
    <w:p>
      <w:pPr>
        <w:pageBreakBefore w:val="0"/>
      </w:pPr>
      <w:r>
        <w:t>The broader vision is a connected buying experience supported by service-provider partnerships, with software subscriptions and licensing for credit unions and automotive platforms extending our reach and creating recurring business revenue.</w:t>
      </w:r>
    </w:p>
    <w:p>
      <w:pPr>
        <w:pStyle w:val="Heading1"/>
        <w:pageBreakBefore w:val="0"/>
      </w:pPr>
      <w:r>
        <w:t>Customer Problem</w:t>
      </w:r>
    </w:p>
    <w:p>
      <w:pPr>
        <w:pageBreakBefore w:val="0"/>
      </w:pPr>
      <w:r>
        <w:t>Private-party buyers make a major financial decision with incomplete information. Listings can omit important details, asking prices are difficult to compare, and inexperienced buyers may struggle to recognize warning signs or negotiate.</w:t>
      </w:r>
    </w:p>
    <w:p>
      <w:pPr>
        <w:pageBreakBefore w:val="0"/>
      </w:pPr>
      <w:r>
        <w:t>Buyers must also coordinate vehicle history, inspections, financing, and purchase logistics across separate services. This burden particularly affects students, first-time buyers, and budget-conscious households that depend on reliable transportation.</w:t>
      </w:r>
    </w:p>
    <w:p>
      <w:pPr>
        <w:pageBreakBefore w:val="0"/>
      </w:pPr>
      <w:r>
        <w:t>Curbside offers faster screening and practical next steps. Free evaluations introduce the product; paid purchases and customer interviews will test willingness to pay.</w:t>
      </w:r>
    </w:p>
    <w:p>
      <w:pPr>
        <w:pStyle w:val="Heading1"/>
        <w:pageBreakBefore w:val="0"/>
      </w:pPr>
      <w:r>
        <w:t>Product/Services</w:t>
      </w:r>
    </w:p>
    <w:p>
      <w:pPr>
        <w:pageBreakBefore w:val="0"/>
      </w:pPr>
      <w:r>
        <w:t>The extension compares a vehicle with other Facebook Marketplace asking prices, adjusting for characteristics such as mileage and trim. Saved evaluations help buyers build a shortlist. Asking prices are not completed sale prices, and evaluations do not replace inspections.</w:t>
      </w:r>
    </w:p>
    <w:p>
      <w:pPr>
        <w:pageBreakBefore w:val="0"/>
      </w:pPr>
      <w:r>
        <w:t>Planned services would let buyers prepare seller questions, arrange inspections, and connect with financing and secure transaction providers. Institutional integrations could place these tools within a credit union’s member experience or an automotive platform. Provider relationships are not yet confirmed.</w:t>
      </w:r>
    </w:p>
    <w:p>
      <w:pPr>
        <w:pageBreakBefore w:val="0"/>
      </w:pPr>
      <w:r>
        <w:t>Implemented capabilities include listing capture, evaluation, accounts, saved results, and payment integration code. Internal testing found 15.3% median absolute percentage error across 4,133 held-out asking-price predictions and 38% overall verdict agreement across 72 labels from one reviewer. Independent validation remains necessary. [1]</w:t>
      </w:r>
    </w:p>
    <w:p>
      <w:pPr>
        <w:pageBreakBefore w:val="0"/>
      </w:pPr>
      <w:r>
        <w:t>Curbside owns its intellectual property, including its original software, evaluation methods, and proprietary know-how.</w:t>
      </w:r>
    </w:p>
    <w:p>
      <w:pPr>
        <w:pageBreakBefore w:val="0"/>
      </w:pPr>
      <w:r>
        <w:t>Operating priorities include platform permissions, privacy, data rights, and specialist review of future financing and transaction arrangements. Referral compensation must be disclosed and kept separate from evaluation scores.</w:t>
      </w:r>
    </w:p>
    <w:p>
      <w:pPr>
        <w:pStyle w:val="Heading1"/>
        <w:pageBreakBefore w:val="0"/>
      </w:pPr>
      <w:r>
        <w:t>Target Market</w:t>
      </w:r>
    </w:p>
    <w:p>
      <w:pPr>
        <w:pageBreakBefore w:val="0"/>
      </w:pPr>
      <w:r>
        <w:t>Curbside initially serves U.S. Facebook Marketplace car buyers using desktop Chrome. Cox Automotive projected 38.3 million U.S. used-vehicle sales for 2026, a broad benchmark rather than an eligible-user count. [2]</w:t>
      </w:r>
    </w:p>
    <w:p>
      <w:pPr>
        <w:pageBreakBefore w:val="0"/>
      </w:pPr>
      <w:r>
        <w:t>A hypothetical 5% reachable share equals 1.915 million shopping episodes. Consumer reach and institutional demand require validation.</w:t>
      </w:r>
    </w:p>
    <w:p>
      <w:pPr>
        <w:pStyle w:val="Heading1"/>
        <w:pageBreakBefore w:val="0"/>
      </w:pPr>
      <w:r>
        <w:t>Customers</w:t>
      </w:r>
    </w:p>
    <w:p>
      <w:pPr>
        <w:pageBreakBefore w:val="0"/>
      </w:pPr>
      <w:r>
        <w:t>Priority consumers are students, first-time buyers, and budget-conscious households seeking reliable transportation. They need clear comparisons and help moving from a listing to a purchase.</w:t>
      </w:r>
    </w:p>
    <w:p>
      <w:pPr>
        <w:pageBreakBefore w:val="0"/>
      </w:pPr>
      <w:r>
        <w:t>Future business customers include credit unions and automotive platforms. Inspection, financing, and transaction providers are potential service partners.</w:t>
      </w:r>
    </w:p>
    <w:p>
      <w:pPr>
        <w:pStyle w:val="Heading1"/>
        <w:pageBreakBefore w:val="0"/>
      </w:pPr>
      <w:r>
        <w:t>Sales/Marketing Strategy</w:t>
      </w:r>
    </w:p>
    <w:p>
      <w:pPr>
        <w:pageBreakBefore w:val="0"/>
      </w:pPr>
      <w:r>
        <w:t>Distribution will begin through the Chrome Web Store and Curbside website. Demonstrations will show direct comparisons with other Facebook Marketplace listings. Educational content, campus outreach, automotive communities, and referrals will drive discovery; paid acquisition will expand only when conversion and acquisition costs justify it.</w:t>
      </w:r>
    </w:p>
    <w:p>
      <w:pPr>
        <w:pageBreakBefore w:val="0"/>
      </w:pPr>
      <w:r>
        <w:t>Conservative assumes weak organic reach and conversion; realistic assumes steady content, campus outreach, and referrals; optimistic assumes stronger referrals and repeatable community distribution. All three are planning assumptions.</w:t>
      </w:r>
    </w:p>
    <w:p>
      <w:pPr>
        <w:pageBreakBefore w:val="0"/>
      </w:pPr>
      <w:r>
        <w:t>Qualified visits are prospective-buyer website or store visits; activation is a completed first evaluation. Paying customers = activated shoppers × paid conversion. Counts assume unique shoppers within each year. Values below follow 2026 / 2027 / 2028; 2026 is the launch-year total.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2592"/>
        <w:gridCol w:w="2592"/>
        <w:gridCol w:w="2592"/>
      </w:tblGrid>
      <w:tr>
        <w:trPr>
          <w:cantSplit/>
          <w:tblHeader/>
        </w:trPr>
        <w:tc>
          <w:tcPr>
            <w:tcW w:type="dxa" w:w="2160"/>
            <w:vAlign w:val="center"/>
            <w:shd w:fill="E8EEF3"/>
            <w:tcMar>
              <w:top w:w="70" w:type="dxa"/>
              <w:left w:w="70" w:type="dxa"/>
              <w:bottom w:w="70" w:type="dxa"/>
              <w:right w:w="70" w:type="dxa"/>
            </w:tcMar>
          </w:tcPr>
          <w:p>
            <w:pPr>
              <w:spacing w:after="20" w:before="20" w:line="240" w:lineRule="auto"/>
              <w:jc w:val="left"/>
            </w:pPr>
            <w:r>
              <w:rPr>
                <w:b/>
                <w:color w:val="000000"/>
                <w:sz w:val="19"/>
              </w:rPr>
              <w:t>Annual funnel</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Conservative</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Realistic</w:t>
            </w:r>
          </w:p>
        </w:tc>
        <w:tc>
          <w:tcPr>
            <w:tcW w:type="dxa" w:w="2592"/>
            <w:vAlign w:val="center"/>
            <w:shd w:fill="E8EEF3"/>
            <w:tcMar>
              <w:top w:w="70" w:type="dxa"/>
              <w:left w:w="70" w:type="dxa"/>
              <w:bottom w:w="70" w:type="dxa"/>
              <w:right w:w="70" w:type="dxa"/>
            </w:tcMar>
          </w:tcPr>
          <w:p>
            <w:pPr>
              <w:spacing w:after="20" w:before="20" w:line="240" w:lineRule="auto"/>
              <w:jc w:val="center"/>
            </w:pPr>
            <w:r>
              <w:rPr>
                <w:b/>
                <w:color w:val="000000"/>
                <w:sz w:val="19"/>
              </w:rPr>
              <w:t>Optimistic</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Qualified visits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20,000 / 40,000 / 80,000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50,000 / 100,000 / 200,000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80,000 / 200,000 / 400,000</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Activation rate</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25%</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Activated shoppers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2,000 / 4,000 / 8,000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10,000 / 20,000 / 40,000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20,000 / 50,000 / 100,000</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Paid conversion</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3%</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5%</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8%</w:t>
            </w:r>
          </w:p>
        </w:tc>
      </w:tr>
      <w:tr>
        <w:trPr>
          <w:cantSplit/>
        </w:trPr>
        <w:tc>
          <w:tcPr>
            <w:tcW w:type="dxa" w:w="2160"/>
            <w:vAlign w:val="center"/>
            <w:shd w:fill="FFFFFF"/>
            <w:tcMar>
              <w:top w:w="70" w:type="dxa"/>
              <w:left w:w="70" w:type="dxa"/>
              <w:bottom w:w="70" w:type="dxa"/>
              <w:right w:w="70" w:type="dxa"/>
            </w:tcMar>
          </w:tcPr>
          <w:p>
            <w:pPr>
              <w:spacing w:after="20" w:before="20" w:line="240" w:lineRule="auto"/>
              <w:jc w:val="left"/>
            </w:pPr>
            <w:r>
              <w:rPr>
                <w:b w:val="0"/>
                <w:color w:val="000000"/>
                <w:sz w:val="19"/>
              </w:rPr>
              <w:t>Paying customers</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60 / 120 / 240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500 / 1,000 / 2,000</w:t>
            </w:r>
          </w:p>
        </w:tc>
        <w:tc>
          <w:tcPr>
            <w:tcW w:type="dxa" w:w="2592"/>
            <w:vAlign w:val="center"/>
            <w:shd w:fill="FFFFFF"/>
            <w:tcMar>
              <w:top w:w="70" w:type="dxa"/>
              <w:left w:w="70" w:type="dxa"/>
              <w:bottom w:w="70" w:type="dxa"/>
              <w:right w:w="70" w:type="dxa"/>
            </w:tcMar>
          </w:tcPr>
          <w:p>
            <w:pPr>
              <w:spacing w:after="20" w:before="20" w:line="240" w:lineRule="auto"/>
              <w:jc w:val="center"/>
            </w:pPr>
            <w:r>
              <w:rPr>
                <w:b w:val="0"/>
                <w:color w:val="000000"/>
                <w:sz w:val="19"/>
              </w:rPr>
              <w:t>1,600 / 4,000 / 8,000</w:t>
            </w:r>
          </w:p>
        </w:tc>
      </w:tr>
      <w:tr>
        <w:trPr>
          <w:cantSplit/>
        </w:trPr>
        <w:tc>
          <w:tcPr>
            <w:tcW w:type="dxa" w:w="2160"/>
            <w:vAlign w:val="center"/>
            <w:shd w:fill="F6F7F8"/>
            <w:tcMar>
              <w:top w:w="70" w:type="dxa"/>
              <w:left w:w="70" w:type="dxa"/>
              <w:bottom w:w="70" w:type="dxa"/>
              <w:right w:w="70" w:type="dxa"/>
            </w:tcMar>
          </w:tcPr>
          <w:p>
            <w:pPr>
              <w:spacing w:after="20" w:before="20" w:line="240" w:lineRule="auto"/>
              <w:jc w:val="left"/>
            </w:pPr>
            <w:r>
              <w:rPr>
                <w:b w:val="0"/>
                <w:color w:val="000000"/>
                <w:sz w:val="19"/>
              </w:rPr>
              <w:t>Marketing budget $</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300 / 600 / 1,200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1,500 / 3,000 / 6,000</w:t>
            </w:r>
          </w:p>
        </w:tc>
        <w:tc>
          <w:tcPr>
            <w:tcW w:type="dxa" w:w="2592"/>
            <w:vAlign w:val="center"/>
            <w:shd w:fill="F6F7F8"/>
            <w:tcMar>
              <w:top w:w="70" w:type="dxa"/>
              <w:left w:w="70" w:type="dxa"/>
              <w:bottom w:w="70" w:type="dxa"/>
              <w:right w:w="70" w:type="dxa"/>
            </w:tcMar>
          </w:tcPr>
          <w:p>
            <w:pPr>
              <w:spacing w:after="20" w:before="20" w:line="240" w:lineRule="auto"/>
              <w:jc w:val="center"/>
            </w:pPr>
            <w:r>
              <w:rPr>
                <w:b w:val="0"/>
                <w:color w:val="000000"/>
                <w:sz w:val="19"/>
              </w:rPr>
              <w:t>3,000 / 8,000 / 16,000</w:t>
            </w:r>
          </w:p>
        </w:tc>
      </w:tr>
    </w:tbl>
    <w:p>
      <w:pPr>
        <w:pageBreakBefore w:val="0"/>
        <w:spacing w:before="120"/>
      </w:pPr>
      <w:r>
        <w:rPr>
          <w:sz w:val="22"/>
        </w:rPr>
        <w:t>Budgets cover content, outreach, and paid tests; founder time is unpaid. Traffic depends mainly on organic distribution. Conversion and acquisition costs will be reviewed monthly. No signed distribution agreements or partner-generated traffic are assumed.</w:t>
      </w:r>
    </w:p>
    <w:p>
      <w:pPr>
        <w:pStyle w:val="Heading1"/>
        <w:pageBreakBefore w:val="0"/>
      </w:pPr>
      <w:r>
        <w:t>Business Model</w:t>
      </w:r>
    </w:p>
    <w:p>
      <w:pPr>
        <w:pageBreakBefore w:val="0"/>
      </w:pPr>
      <w:r>
        <w:t>Consumer freemium pricing includes ten free checks, ten additional checks for $7.99, twenty for $11.99, or unlimited evaluations for $16.99 per month. Paid packs do not expire. [6]</w:t>
      </w:r>
    </w:p>
    <w:p>
      <w:pPr>
        <w:pageBreakBefore w:val="0"/>
      </w:pPr>
      <w:r>
        <w:t>Planned revenue streams include referral partnerships for inspection, financing, and transaction services, plus recurring software subscriptions and licensing for credit unions and automotive platforms. Terms will be established through pilots.</w:t>
      </w:r>
    </w:p>
    <w:p>
      <w:pPr>
        <w:pageBreakBefore w:val="0"/>
      </w:pPr>
      <w:r>
        <w:t>Curbside has no revenue or funding to date and has incurred no significant operating costs. The projections below model consumer adoption and spending; they exclude founder compensation and institutional development.</w:t>
      </w:r>
    </w:p>
    <w:p>
      <w:pPr>
        <w:pStyle w:val="Heading1"/>
        <w:pageBreakBefore w:val="0"/>
      </w:pPr>
      <w:r>
        <w:t>Competitors</w:t>
      </w:r>
    </w:p>
    <w:p>
      <w:pPr>
        <w:pageBreakBefore w:val="0"/>
      </w:pPr>
      <w:r>
        <w:t>Kelley Blue Book offers private-party valuations, CarGurus provides valuation tools and deal ratings, and CARFAX supplies vehicle-history reports. [3–5] CarScout directly competes through Marketplace comparable-listing searches and ranked alternatives. [7]</w:t>
      </w:r>
    </w:p>
    <w:p>
      <w:pPr>
        <w:pageBreakBefore w:val="0"/>
      </w:pPr>
      <w:r>
        <w:t>Free research tools and manual comparisons create a price hurdle. Curbside must demonstrate enough convenience and useful guidance to earn paid purchases. Pilots will compare usability, trust, and willingness to pay against existing tools.</w:t>
      </w:r>
    </w:p>
    <w:p>
      <w:pPr>
        <w:pStyle w:val="Heading1"/>
        <w:pageBreakBefore w:val="0"/>
      </w:pPr>
      <w:r>
        <w:t>Competitive Advantage</w:t>
      </w:r>
    </w:p>
    <w:p>
      <w:pPr>
        <w:pageBreakBefore w:val="0"/>
      </w:pPr>
      <w:r>
        <w:t>Curbside combines direct Facebook Marketplace price comparisons with risk explanations and negotiation guidance. Its broader opportunity is to carry that vehicle context through inspection, financing, and transaction steps, reducing the research buyers must repeat across services.</w:t>
      </w:r>
    </w:p>
    <w:p>
      <w:pPr>
        <w:pageBreakBefore w:val="0"/>
      </w:pPr>
      <w:r>
        <w:t>Long-term differentiation would come from permitted buyer and inspection feedback, service integrations, and distribution through trusted institutions. These advantages remain to be developed; the current feature set is reproducible, with no exclusive network or proven data advantage.</w:t>
      </w:r>
    </w:p>
    <w:p>
      <w:pPr>
        <w:pStyle w:val="Heading1"/>
        <w:pageBreakBefore/>
      </w:pPr>
      <w:r>
        <w:t>Management Team</w:t>
      </w:r>
    </w:p>
    <w:p>
      <w:pPr>
        <w:pageBreakBefore w:val="0"/>
      </w:pPr>
      <w:r>
        <w:rPr>
          <w:sz w:val="22"/>
        </w:rPr>
        <w:t>Joshua Keoshkerian, co-founder, studies Business Information Systems with minors in Mathematics and Computer Science at the University of Tulsa. He developed Curbside’s working extension and evaluation engine. At the Federal Reserve Bank of Kansas City, he won first place in a bank-wide intern data visualization competition and presented analytical findings to executive leadership. At Royal Banks of Missouri, he reworked an anomaly-detection system that helped prevent over $5,000 in fraudulent transactions. This experience supports Curbside’s work translating complex data into useful buying guidance.</w:t>
      </w:r>
    </w:p>
    <w:p>
      <w:pPr>
        <w:pageBreakBefore w:val="0"/>
      </w:pPr>
      <w:r>
        <w:rPr>
          <w:sz w:val="22"/>
        </w:rPr>
        <w:t>Ryan Calhoun, co-founder, is a National Merit Scholar studying Engineering Physics with a focus on Bioengineering at the University of Tulsa, with a 4.0 GPA. As a traffic engineering intern for the City of Sioux Falls, he used Excel to automate traffic-data analysis and support senior engineers’ decisions. At The Mitographers, he prepared digital production files to reduce machine downtime and improve efficiency. His quantitative and mechanical experience supports product evaluation, while his roles as club soccer president, treasurer, and peer mentor demonstrate leadership.</w:t>
      </w:r>
    </w:p>
    <w:p>
      <w:pPr>
        <w:pageBreakBefore w:val="0"/>
      </w:pPr>
      <w:r>
        <w:rPr>
          <w:sz w:val="22"/>
        </w:rPr>
        <w:t>The founders combine business analysis, software development, and engineering. University networks support early buyer research; automotive advisors and specialists in partnerships, security, and integrations will help address gaps as the platform expands.</w:t>
      </w:r>
    </w:p>
    <w:p>
      <w:pPr>
        <w:pStyle w:val="Heading1"/>
        <w:pageBreakBefore w:val="0"/>
      </w:pPr>
      <w:r>
        <w:t>Goals</w:t>
      </w:r>
    </w:p>
    <w:p>
      <w:pPr>
        <w:pageBreakBefore w:val="0"/>
      </w:pPr>
      <w:r>
        <w:t>Curbside seeks $7,500 in early funding, pilot customers, advisors, and introductions to inspection providers, credit unions, and automotive platforms.</w:t>
      </w:r>
    </w:p>
    <w:p>
      <w:pPr>
        <w:pageBreakBefore w:val="0"/>
      </w:pPr>
      <w:r>
        <w:t>Milestones are 20 buyer interviews and a 25-person pilot within 30 days; initial paid purchases and ten partner interviews within 90 days; and a defined provider or institutional pilot within six months. Launch-year payer targets are 60 conservative, 500 realistic, and 1,600 optimistic, subject to launch timing.</w:t>
      </w:r>
    </w:p>
    <w:p>
      <w:pPr>
        <w:pageBreakBefore w:val="0"/>
      </w:pPr>
      <w:r>
        <w:t>The proposed $7,500 allocation is $2,500 for evaluation reliability and product improvements, $2,000 for customer research and acquisition, $1,500 for partner-pilot development, and $1,500 for specialist advice and contingency. These fund validation rather than additional recurring annual expenses.</w:t>
      </w:r>
    </w:p>
    <w:p>
      <w:pPr>
        <w:pStyle w:val="Heading1"/>
        <w:pageBreakBefore/>
      </w:pPr>
      <w:r>
        <w:t>Financials ($ US)</w:t>
      </w:r>
    </w:p>
    <w:p>
      <w:pPr>
        <w:pageBreakBefore w:val="0"/>
      </w:pPr>
      <w:r>
        <w:rPr>
          <w:sz w:val="20"/>
        </w:rPr>
        <w:t>Curbside began in 2026. These consumer projections follow the sales funnel for launch year 2026 and calendar years 2027–2028. All cases are planning assumptions; the realistic case is not a validated forecast. The 2026 figures remain subject to actual results and launch timing.</w:t>
      </w:r>
    </w:p>
    <w:p>
      <w:pPr>
        <w:pageBreakBefore w:val="0"/>
      </w:pPr>
      <w:r>
        <w:rPr>
          <w:sz w:val="20"/>
        </w:rPr>
        <w:t>Revenue equals annual paying customers × $12 average total spend per payer, with no assumed recurring retention. Variable costs allow $0.15 per activated shopper for evaluations and $0.75 per payer for payment costs. These allowances cover free use and must be tested against actual usage. Fixed costs cover basic hosting, software, administration, and limited support.</w:t>
      </w:r>
    </w:p>
    <w:p>
      <w:pPr>
        <w:keepNext/>
        <w:pageBreakBefore w:val="0"/>
        <w:spacing w:before="140" w:after="80"/>
      </w:pPr>
      <w:r>
        <w:rPr>
          <w:b/>
          <w:sz w:val="22"/>
        </w:rPr>
        <w:t>Conservative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2026</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720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1,440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2,880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1,200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345</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690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1,380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1,800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2,400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3,600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2,445</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3,690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6,180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(1,725)</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(2,250)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(3,300)</w:t>
            </w:r>
          </w:p>
        </w:tc>
      </w:tr>
    </w:tbl>
    <w:p>
      <w:pPr>
        <w:keepNext/>
        <w:pageBreakBefore w:val="0"/>
        <w:spacing w:before="140" w:after="80"/>
      </w:pPr>
      <w:r>
        <w:rPr>
          <w:b/>
          <w:sz w:val="22"/>
        </w:rPr>
        <w:t>Realistic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2026</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12,000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24,000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1,500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1,875</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3,750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7,500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3,600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4,800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7,200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6,975</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11,550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20,700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(975)</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450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3,300</w:t>
            </w:r>
          </w:p>
        </w:tc>
      </w:tr>
    </w:tbl>
    <w:p>
      <w:pPr>
        <w:keepNext/>
        <w:pageBreakBefore w:val="0"/>
        <w:spacing w:before="140" w:after="80"/>
      </w:pPr>
      <w:r>
        <w:rPr>
          <w:b/>
          <w:sz w:val="22"/>
        </w:rPr>
        <w:t>Optimistic</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88"/>
        <w:gridCol w:w="2016"/>
        <w:gridCol w:w="2016"/>
        <w:gridCol w:w="2016"/>
      </w:tblGrid>
      <w:tr>
        <w:trPr>
          <w:cantSplit/>
          <w:tblHeader/>
        </w:trPr>
        <w:tc>
          <w:tcPr>
            <w:tcW w:type="dxa" w:w="3888"/>
            <w:vAlign w:val="center"/>
            <w:shd w:fill="E8EEF3"/>
            <w:tcMar>
              <w:top w:w="40" w:type="dxa"/>
              <w:left w:w="70" w:type="dxa"/>
              <w:bottom w:w="40" w:type="dxa"/>
              <w:right w:w="70" w:type="dxa"/>
            </w:tcMar>
          </w:tcPr>
          <w:p>
            <w:pPr>
              <w:spacing w:after="0" w:before="0" w:line="240" w:lineRule="auto"/>
              <w:jc w:val="left"/>
            </w:pPr>
            <w:r>
              <w:rPr>
                <w:b/>
                <w:color w:val="000000"/>
                <w:sz w:val="19"/>
              </w:rPr>
              <w:t>Financials ($ US)</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2026</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2027</w:t>
            </w:r>
          </w:p>
        </w:tc>
        <w:tc>
          <w:tcPr>
            <w:tcW w:type="dxa" w:w="2016"/>
            <w:vAlign w:val="center"/>
            <w:shd w:fill="E8EEF3"/>
            <w:tcMar>
              <w:top w:w="40" w:type="dxa"/>
              <w:left w:w="70" w:type="dxa"/>
              <w:bottom w:w="40" w:type="dxa"/>
              <w:right w:w="70" w:type="dxa"/>
            </w:tcMar>
          </w:tcPr>
          <w:p>
            <w:pPr>
              <w:spacing w:after="0" w:before="0" w:line="240" w:lineRule="auto"/>
              <w:jc w:val="center"/>
            </w:pPr>
            <w:r>
              <w:rPr>
                <w:b/>
                <w:color w:val="000000"/>
                <w:sz w:val="19"/>
              </w:rPr>
              <w:t>2028</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Consumer revenue</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19,200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48,000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96,000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Marketing</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8,000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16,000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Variable service costs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4,200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10,500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21,000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Fixed operating costs</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12,000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24,000</w:t>
            </w:r>
          </w:p>
        </w:tc>
      </w:tr>
      <w:tr>
        <w:trPr>
          <w:cantSplit/>
        </w:trPr>
        <w:tc>
          <w:tcPr>
            <w:tcW w:type="dxa" w:w="3888"/>
            <w:vAlign w:val="center"/>
            <w:shd w:fill="FFFFFF"/>
            <w:tcMar>
              <w:top w:w="40" w:type="dxa"/>
              <w:left w:w="70" w:type="dxa"/>
              <w:bottom w:w="40" w:type="dxa"/>
              <w:right w:w="70" w:type="dxa"/>
            </w:tcMar>
          </w:tcPr>
          <w:p>
            <w:pPr>
              <w:spacing w:after="0" w:before="0" w:line="240" w:lineRule="auto"/>
              <w:jc w:val="left"/>
            </w:pPr>
            <w:r>
              <w:rPr>
                <w:b w:val="0"/>
                <w:color w:val="000000"/>
                <w:sz w:val="19"/>
              </w:rPr>
              <w:t>Total expenditures</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13,200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30,500</w:t>
            </w:r>
          </w:p>
        </w:tc>
        <w:tc>
          <w:tcPr>
            <w:tcW w:type="dxa" w:w="2016"/>
            <w:vAlign w:val="center"/>
            <w:shd w:fill="FFFFFF"/>
            <w:tcMar>
              <w:top w:w="40" w:type="dxa"/>
              <w:left w:w="70" w:type="dxa"/>
              <w:bottom w:w="40" w:type="dxa"/>
              <w:right w:w="70" w:type="dxa"/>
            </w:tcMar>
          </w:tcPr>
          <w:p>
            <w:pPr>
              <w:spacing w:after="0" w:before="0" w:line="240" w:lineRule="auto"/>
              <w:jc w:val="center"/>
            </w:pPr>
            <w:r>
              <w:rPr>
                <w:b w:val="0"/>
                <w:color w:val="000000"/>
                <w:sz w:val="19"/>
              </w:rPr>
              <w:t>61,000</w:t>
            </w:r>
          </w:p>
        </w:tc>
      </w:tr>
      <w:tr>
        <w:trPr>
          <w:cantSplit/>
        </w:trPr>
        <w:tc>
          <w:tcPr>
            <w:tcW w:type="dxa" w:w="3888"/>
            <w:vAlign w:val="center"/>
            <w:shd w:fill="F6F7F8"/>
            <w:tcMar>
              <w:top w:w="40" w:type="dxa"/>
              <w:left w:w="70" w:type="dxa"/>
              <w:bottom w:w="40" w:type="dxa"/>
              <w:right w:w="70" w:type="dxa"/>
            </w:tcMar>
          </w:tcPr>
          <w:p>
            <w:pPr>
              <w:spacing w:after="0" w:before="0" w:line="240" w:lineRule="auto"/>
              <w:jc w:val="left"/>
            </w:pPr>
            <w:r>
              <w:rPr>
                <w:b w:val="0"/>
                <w:color w:val="000000"/>
                <w:sz w:val="19"/>
              </w:rPr>
              <w:t>Operating result</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6,000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17,500</w:t>
            </w:r>
          </w:p>
        </w:tc>
        <w:tc>
          <w:tcPr>
            <w:tcW w:type="dxa" w:w="2016"/>
            <w:vAlign w:val="center"/>
            <w:shd w:fill="F6F7F8"/>
            <w:tcMar>
              <w:top w:w="40" w:type="dxa"/>
              <w:left w:w="70" w:type="dxa"/>
              <w:bottom w:w="40" w:type="dxa"/>
              <w:right w:w="70" w:type="dxa"/>
            </w:tcMar>
          </w:tcPr>
          <w:p>
            <w:pPr>
              <w:spacing w:after="0" w:before="0" w:line="240" w:lineRule="auto"/>
              <w:jc w:val="center"/>
            </w:pPr>
            <w:r>
              <w:rPr>
                <w:b w:val="0"/>
                <w:color w:val="000000"/>
                <w:sz w:val="19"/>
              </w:rPr>
              <w:t>35,000</w:t>
            </w:r>
          </w:p>
        </w:tc>
      </w:tr>
    </w:tbl>
    <w:p>
      <w:pPr>
        <w:pageBreakBefore w:val="0"/>
        <w:spacing w:before="120"/>
      </w:pPr>
      <w:r>
        <w:rPr>
          <w:sz w:val="18"/>
        </w:rPr>
        <w:t>Operating results exclude founder salaries, taxes, financing, capital purchases, and institutional development. No award, referral, or licensing revenue is included. Positive results therefore do not establish full business profitability. The conservative case needs $7,275 to cover cumulative modeled losses through 2028, before contingency or excluded costs.</w:t>
      </w:r>
    </w:p>
    <w:p>
      <w:pPr>
        <w:pageBreakBefore w:val="0"/>
        <w:spacing w:before="200"/>
      </w:pPr>
      <w:r>
        <w:rPr>
          <w:color w:val="555555"/>
          <w:sz w:val="16"/>
        </w:rPr>
        <w:t>[1] Internal calibration review, docs/calibration-pass-1.md. [2] Cox Automotive, December 2025, 2026 Forecasts. [3] kbb.com/whats-my-car-worth/ [4] cargurus.com/research/car-valuation [5] carfax.com/vehicle-history-reports/ [6] Curbside pricing configuration. Sources reviewed September 29, 2026. [7] CarScout, Chrome Web Store: chromewebstore.google.com/detail/andcdhiiobnhninfkfodhhghcjjkdaol (accessed September 30,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Curbside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6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