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2363" w14:textId="77777777" w:rsidR="00494E05" w:rsidRPr="00190DE5" w:rsidRDefault="00640809" w:rsidP="00190DE5">
      <w:pPr>
        <w:pStyle w:val="Heading1"/>
      </w:pPr>
      <w:bookmarkStart w:id="0" w:name="_qbp22qv0csnd" w:colFirst="0" w:colLast="0"/>
      <w:bookmarkEnd w:id="0"/>
      <w:r w:rsidRPr="00190DE5">
        <w:t>CA Server Root Certificate Requirements Checklist (CA-1)</w:t>
      </w:r>
    </w:p>
    <w:p w14:paraId="46DA8394" w14:textId="77777777" w:rsidR="00494E05" w:rsidRPr="00D03C75" w:rsidRDefault="00640809" w:rsidP="00854083">
      <w:pPr>
        <w:pStyle w:val="Heading2"/>
      </w:pPr>
      <w:bookmarkStart w:id="1" w:name="_28ctqlv5w4b4" w:colFirst="0" w:colLast="0"/>
      <w:bookmarkEnd w:id="1"/>
      <w:r w:rsidRPr="00D03C75">
        <w:t>Requirements</w:t>
      </w:r>
    </w:p>
    <w:p w14:paraId="47F68CD9" w14:textId="77777777" w:rsidR="00494E05" w:rsidRPr="00D0681F" w:rsidRDefault="00640809" w:rsidP="00FC0BBA">
      <w:pPr>
        <w:pStyle w:val="List"/>
      </w:pPr>
      <w:r w:rsidRPr="00D0681F">
        <w:t xml:space="preserve">Identify </w:t>
      </w:r>
      <w:r w:rsidRPr="00FC0BBA">
        <w:t>information</w:t>
      </w:r>
      <w:r w:rsidRPr="00D0681F">
        <w:t xml:space="preserve"> systems that support organizational missions/business functions</w:t>
      </w:r>
    </w:p>
    <w:p w14:paraId="588630A1" w14:textId="41028C33" w:rsidR="00494E05" w:rsidRPr="00D0681F" w:rsidRDefault="00640809" w:rsidP="00FC0BBA">
      <w:pPr>
        <w:pStyle w:val="List"/>
      </w:pPr>
      <w:r w:rsidRPr="00D0681F">
        <w:t>Identify and select the following types of information system accounts that support organizational missions/business functions: [</w:t>
      </w:r>
      <w:r w:rsidRPr="00D0681F">
        <w:rPr>
          <w:i/>
        </w:rPr>
        <w:t>administrative, service</w:t>
      </w:r>
      <w:r w:rsidRPr="00D0681F">
        <w:t>]</w:t>
      </w:r>
    </w:p>
    <w:p w14:paraId="2F047B7D" w14:textId="77777777" w:rsidR="00494E05" w:rsidRPr="00D0681F" w:rsidRDefault="00640809" w:rsidP="00FC0BBA">
      <w:pPr>
        <w:pStyle w:val="List"/>
      </w:pPr>
      <w:r w:rsidRPr="00D0681F">
        <w:t>Identify authorities from each department for root certificate assignment approval</w:t>
      </w:r>
    </w:p>
    <w:p w14:paraId="5A022C92" w14:textId="77777777" w:rsidR="00494E05" w:rsidRPr="00D0681F" w:rsidRDefault="00640809" w:rsidP="00FC0BBA">
      <w:pPr>
        <w:pStyle w:val="List"/>
      </w:pPr>
      <w:r w:rsidRPr="00D0681F">
        <w:t>Secure protocols used, TLS v1.2</w:t>
      </w:r>
    </w:p>
    <w:p w14:paraId="2074C5CB" w14:textId="77777777" w:rsidR="00494E05" w:rsidRPr="00D0681F" w:rsidRDefault="00640809" w:rsidP="00FC0BBA">
      <w:pPr>
        <w:pStyle w:val="List"/>
      </w:pPr>
      <w:r w:rsidRPr="00D0681F">
        <w:t>Client renegotiation disabled</w:t>
      </w:r>
    </w:p>
    <w:p w14:paraId="3AD4ADAD" w14:textId="77777777" w:rsidR="00494E05" w:rsidRPr="00D0681F" w:rsidRDefault="00640809" w:rsidP="00FC0BBA">
      <w:pPr>
        <w:pStyle w:val="List"/>
      </w:pPr>
      <w:r w:rsidRPr="00D0681F">
        <w:t>Account notification to CA authorities:</w:t>
      </w:r>
    </w:p>
    <w:p w14:paraId="0C1790C8" w14:textId="77777777" w:rsidR="00494E05" w:rsidRPr="00D0681F" w:rsidRDefault="00640809" w:rsidP="00FC0BBA">
      <w:pPr>
        <w:pStyle w:val="List2"/>
      </w:pPr>
      <w:r w:rsidRPr="00FC0BBA">
        <w:t>When</w:t>
      </w:r>
      <w:r w:rsidRPr="00D0681F">
        <w:t xml:space="preserve"> user or system accounts are terminated</w:t>
      </w:r>
    </w:p>
    <w:p w14:paraId="7F19EE57" w14:textId="77777777" w:rsidR="00494E05" w:rsidRPr="00D0681F" w:rsidRDefault="00640809" w:rsidP="00FC0BBA">
      <w:pPr>
        <w:pStyle w:val="List2"/>
      </w:pPr>
      <w:r w:rsidRPr="00D0681F">
        <w:t>When individual information system usage changes</w:t>
      </w:r>
    </w:p>
    <w:p w14:paraId="20D98DD2" w14:textId="50DEA26E" w:rsidR="00494E05" w:rsidRPr="00D0681F" w:rsidRDefault="00640809" w:rsidP="00FC0BBA">
      <w:pPr>
        <w:pStyle w:val="List2"/>
      </w:pPr>
      <w:r w:rsidRPr="00D0681F">
        <w:t>When account inactivity</w:t>
      </w:r>
      <w:r w:rsidR="005E241D">
        <w:t xml:space="preserve"> is</w:t>
      </w:r>
      <w:r w:rsidRPr="00D0681F">
        <w:t xml:space="preserve"> for a period of 90 days</w:t>
      </w:r>
    </w:p>
    <w:p w14:paraId="552281D6" w14:textId="77777777" w:rsidR="00494E05" w:rsidRPr="00D0681F" w:rsidRDefault="00640809" w:rsidP="00FC0BBA">
      <w:pPr>
        <w:pStyle w:val="List"/>
      </w:pPr>
      <w:r w:rsidRPr="00D0681F">
        <w:t>Authorize root certificate assignment for information systems based on:</w:t>
      </w:r>
    </w:p>
    <w:p w14:paraId="27DBD2B3" w14:textId="5D0A5580" w:rsidR="00494E05" w:rsidRPr="00D0681F" w:rsidRDefault="00640809" w:rsidP="00FC0BBA">
      <w:pPr>
        <w:pStyle w:val="List2"/>
      </w:pPr>
      <w:r w:rsidRPr="00D0681F">
        <w:t>A valid access authorization</w:t>
      </w:r>
    </w:p>
    <w:p w14:paraId="372EDC58" w14:textId="689AE359" w:rsidR="00494E05" w:rsidRPr="00D0681F" w:rsidRDefault="00640809" w:rsidP="00FC0BBA">
      <w:pPr>
        <w:pStyle w:val="List2"/>
      </w:pPr>
      <w:r w:rsidRPr="00D0681F">
        <w:t>Other attributes as required by the organization or associated missions/business functions</w:t>
      </w:r>
    </w:p>
    <w:p w14:paraId="481621D9" w14:textId="77777777" w:rsidR="00B97CDC" w:rsidRPr="00B97CDC" w:rsidRDefault="00B97CDC" w:rsidP="00B97CDC">
      <w:pPr>
        <w:pStyle w:val="List"/>
        <w:rPr>
          <w:rFonts w:ascii="Times New Roman" w:hAnsi="Times New Roman"/>
          <w:sz w:val="24"/>
          <w:szCs w:val="24"/>
        </w:rPr>
      </w:pPr>
      <w:r w:rsidRPr="00B97CDC">
        <w:rPr>
          <w:rFonts w:ascii="Times New Roman" w:hAnsi="Times New Roman"/>
          <w:sz w:val="24"/>
          <w:szCs w:val="24"/>
        </w:rPr>
        <w:t>Certificate will be revoked for the following reasons</w:t>
      </w:r>
    </w:p>
    <w:p w14:paraId="666DC61B" w14:textId="34F1BFFA" w:rsidR="00B97CDC" w:rsidRPr="00B97CDC" w:rsidRDefault="00B97CDC" w:rsidP="00B97CDC">
      <w:pPr>
        <w:pStyle w:val="List2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97CDC">
        <w:rPr>
          <w:rFonts w:ascii="Times New Roman" w:hAnsi="Times New Roman"/>
          <w:sz w:val="24"/>
          <w:szCs w:val="24"/>
          <w:lang w:val="en-US"/>
        </w:rPr>
        <w:t>Attempts to login to a restricted area of the network.</w:t>
      </w:r>
    </w:p>
    <w:p w14:paraId="1C55D48D" w14:textId="4D899044" w:rsidR="00B97CDC" w:rsidRPr="00B97CDC" w:rsidRDefault="00B97CDC" w:rsidP="00B97CDC">
      <w:pPr>
        <w:pStyle w:val="List2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97CDC">
        <w:rPr>
          <w:rFonts w:ascii="Times New Roman" w:hAnsi="Times New Roman"/>
          <w:sz w:val="24"/>
          <w:szCs w:val="24"/>
          <w:lang w:val="en-US"/>
        </w:rPr>
        <w:t>User is terminated and access needs to be deleted ASAP.</w:t>
      </w:r>
    </w:p>
    <w:p w14:paraId="53918884" w14:textId="222D8E87" w:rsidR="00B97CDC" w:rsidRPr="00B97CDC" w:rsidRDefault="00B97CDC" w:rsidP="00B97CDC">
      <w:pPr>
        <w:pStyle w:val="List2"/>
        <w:spacing w:line="360" w:lineRule="auto"/>
        <w:rPr>
          <w:rFonts w:ascii="Times New Roman" w:hAnsi="Times New Roman"/>
          <w:sz w:val="24"/>
          <w:szCs w:val="24"/>
        </w:rPr>
      </w:pPr>
      <w:r w:rsidRPr="00B97CDC">
        <w:rPr>
          <w:rFonts w:ascii="Times New Roman" w:hAnsi="Times New Roman"/>
          <w:sz w:val="24"/>
          <w:szCs w:val="24"/>
          <w:lang w:val="en-US"/>
        </w:rPr>
        <w:t xml:space="preserve">  Three failed login attempts on a workstation.</w:t>
      </w:r>
    </w:p>
    <w:p w14:paraId="5E39D9E2" w14:textId="7CEB599E" w:rsidR="00494E05" w:rsidRPr="00B97CDC" w:rsidRDefault="00B97CDC" w:rsidP="00FC0BBA">
      <w:pPr>
        <w:pStyle w:val="List"/>
        <w:rPr>
          <w:rFonts w:ascii="Times New Roman" w:hAnsi="Times New Roman"/>
          <w:sz w:val="24"/>
          <w:szCs w:val="24"/>
        </w:rPr>
      </w:pPr>
      <w:r w:rsidRPr="00B97CDC">
        <w:rPr>
          <w:rFonts w:ascii="Times New Roman" w:hAnsi="Times New Roman"/>
          <w:sz w:val="24"/>
          <w:szCs w:val="24"/>
        </w:rPr>
        <w:t>Implement PKI (Public Key Infrastructure) for both symmetrical and asymmetrical encryption.</w:t>
      </w:r>
    </w:p>
    <w:p w14:paraId="6C689628" w14:textId="7D3A603C" w:rsidR="00494E05" w:rsidRPr="00B97CDC" w:rsidRDefault="00B97CDC" w:rsidP="00FC0BBA">
      <w:pPr>
        <w:pStyle w:val="List"/>
        <w:rPr>
          <w:rFonts w:ascii="Times New Roman" w:hAnsi="Times New Roman"/>
          <w:sz w:val="24"/>
          <w:szCs w:val="24"/>
        </w:rPr>
      </w:pPr>
      <w:r w:rsidRPr="00B97CDC">
        <w:rPr>
          <w:rFonts w:ascii="Times New Roman" w:hAnsi="Times New Roman"/>
          <w:sz w:val="24"/>
          <w:szCs w:val="24"/>
        </w:rPr>
        <w:t>The validity period for certificates should range from 1 to 3 years, depending on security requirements.</w:t>
      </w:r>
    </w:p>
    <w:p w14:paraId="4FDC3A62" w14:textId="77777777" w:rsidR="00854083" w:rsidRPr="00D0681F" w:rsidRDefault="00854083" w:rsidP="00854083">
      <w:pPr>
        <w:spacing w:before="120" w:after="120" w:line="240" w:lineRule="auto"/>
        <w:rPr>
          <w:rFonts w:ascii="Calibri" w:hAnsi="Calibri"/>
        </w:rPr>
      </w:pPr>
    </w:p>
    <w:p w14:paraId="03555B52" w14:textId="1DC26A75" w:rsidR="00494E05" w:rsidRPr="00854083" w:rsidRDefault="00887750" w:rsidP="00854083">
      <w:pPr>
        <w:pStyle w:val="Heading2"/>
      </w:pPr>
      <w:r w:rsidRPr="00854083">
        <w:t>CA-1 Root Certificate Requirements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  <w:tblDescription w:val="Table"/>
      </w:tblPr>
      <w:tblGrid>
        <w:gridCol w:w="9350"/>
      </w:tblGrid>
      <w:tr w:rsidR="00E72B96" w:rsidRPr="00130555" w14:paraId="5EE9E272" w14:textId="77777777" w:rsidTr="00FC0BBA">
        <w:trPr>
          <w:tblHeader/>
        </w:trPr>
        <w:tc>
          <w:tcPr>
            <w:tcW w:w="9350" w:type="dxa"/>
            <w:shd w:val="clear" w:color="auto" w:fill="DBE5F1" w:themeFill="accent1" w:themeFillTint="33"/>
            <w:tcMar>
              <w:top w:w="43" w:type="dxa"/>
              <w:bottom w:w="43" w:type="dxa"/>
            </w:tcMar>
          </w:tcPr>
          <w:p w14:paraId="721D08DC" w14:textId="578F24A9" w:rsidR="00E72B96" w:rsidRPr="00E72B96" w:rsidRDefault="00E72B96" w:rsidP="00362998">
            <w:pPr>
              <w:spacing w:before="120" w:after="120" w:line="240" w:lineRule="auto"/>
              <w:rPr>
                <w:rFonts w:ascii="Calibri" w:eastAsia="Calibri" w:hAnsi="Calibri" w:cs="Calibri"/>
                <w:b/>
              </w:rPr>
            </w:pPr>
            <w:r w:rsidRPr="00E72B96">
              <w:rPr>
                <w:rFonts w:ascii="Calibri" w:eastAsia="Calibri" w:hAnsi="Calibri" w:cs="Calibri"/>
                <w:b/>
              </w:rPr>
              <w:t>Requirements</w:t>
            </w:r>
          </w:p>
        </w:tc>
      </w:tr>
      <w:tr w:rsidR="00494E05" w:rsidRPr="00130555" w14:paraId="50122C9F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4E5939FB" w14:textId="757FA413" w:rsidR="00494E05" w:rsidRPr="00130555" w:rsidRDefault="00640809">
            <w:pPr>
              <w:spacing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 xml:space="preserve">Support </w:t>
            </w:r>
            <w:r w:rsidR="00EE5D41">
              <w:rPr>
                <w:rFonts w:ascii="Calibri" w:eastAsia="Calibri" w:hAnsi="Calibri" w:cs="Calibri"/>
              </w:rPr>
              <w:t>o</w:t>
            </w:r>
            <w:r w:rsidRPr="00130555">
              <w:rPr>
                <w:rFonts w:ascii="Calibri" w:eastAsia="Calibri" w:hAnsi="Calibri" w:cs="Calibri"/>
              </w:rPr>
              <w:t>rganizational missions: &lt;</w:t>
            </w:r>
            <w:r w:rsidRPr="00130555">
              <w:rPr>
                <w:rFonts w:ascii="Calibri" w:eastAsia="Calibri" w:hAnsi="Calibri" w:cs="Calibri"/>
                <w:i/>
              </w:rPr>
              <w:t>IT defined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0746DAB7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6446B2D1" w14:textId="140E8DFC" w:rsidR="00494E05" w:rsidRPr="00130555" w:rsidRDefault="0064080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Parameter CA-1(D): &lt;</w:t>
            </w:r>
            <w:r w:rsidRPr="00130555">
              <w:rPr>
                <w:rFonts w:ascii="Calibri" w:eastAsia="Calibri" w:hAnsi="Calibri" w:cs="Calibri"/>
                <w:i/>
              </w:rPr>
              <w:t xml:space="preserve">IT-defined </w:t>
            </w:r>
            <w:r w:rsidR="00955FF2">
              <w:rPr>
                <w:rFonts w:ascii="Calibri" w:eastAsia="Calibri" w:hAnsi="Calibri" w:cs="Calibri"/>
                <w:i/>
              </w:rPr>
              <w:t>t</w:t>
            </w:r>
            <w:r w:rsidRPr="00130555">
              <w:rPr>
                <w:rFonts w:ascii="Calibri" w:eastAsia="Calibri" w:hAnsi="Calibri" w:cs="Calibri"/>
                <w:i/>
              </w:rPr>
              <w:t xml:space="preserve">ransport </w:t>
            </w:r>
            <w:r w:rsidR="00955FF2">
              <w:rPr>
                <w:rFonts w:ascii="Calibri" w:eastAsia="Calibri" w:hAnsi="Calibri" w:cs="Calibri"/>
                <w:i/>
              </w:rPr>
              <w:t>l</w:t>
            </w:r>
            <w:r w:rsidRPr="00130555">
              <w:rPr>
                <w:rFonts w:ascii="Calibri" w:eastAsia="Calibri" w:hAnsi="Calibri" w:cs="Calibri"/>
                <w:i/>
              </w:rPr>
              <w:t xml:space="preserve">ayer </w:t>
            </w:r>
            <w:r w:rsidR="00955FF2">
              <w:rPr>
                <w:rFonts w:ascii="Calibri" w:eastAsia="Calibri" w:hAnsi="Calibri" w:cs="Calibri"/>
                <w:i/>
              </w:rPr>
              <w:t>s</w:t>
            </w:r>
            <w:r w:rsidRPr="00130555">
              <w:rPr>
                <w:rFonts w:ascii="Calibri" w:eastAsia="Calibri" w:hAnsi="Calibri" w:cs="Calibri"/>
                <w:i/>
              </w:rPr>
              <w:t>ecurity&gt;</w:t>
            </w:r>
          </w:p>
        </w:tc>
      </w:tr>
      <w:tr w:rsidR="00494E05" w:rsidRPr="00130555" w14:paraId="17A7648D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44414957" w14:textId="0A607404" w:rsidR="00494E05" w:rsidRPr="00130555" w:rsidRDefault="0064080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2" w:name="_9rxlw7va0tx6" w:colFirst="0" w:colLast="0"/>
            <w:bookmarkEnd w:id="2"/>
            <w:r w:rsidRPr="00130555">
              <w:rPr>
                <w:rFonts w:ascii="Calibri" w:eastAsia="Calibri" w:hAnsi="Calibri" w:cs="Calibri"/>
              </w:rPr>
              <w:t>Parameter CA-1(E): &lt;</w:t>
            </w:r>
            <w:r w:rsidRPr="00130555">
              <w:rPr>
                <w:rFonts w:ascii="Calibri" w:eastAsia="Calibri" w:hAnsi="Calibri" w:cs="Calibri"/>
                <w:i/>
              </w:rPr>
              <w:t xml:space="preserve">IT-defined </w:t>
            </w:r>
            <w:r w:rsidR="00955FF2">
              <w:rPr>
                <w:rFonts w:ascii="Calibri" w:eastAsia="Calibri" w:hAnsi="Calibri" w:cs="Calibri"/>
                <w:i/>
              </w:rPr>
              <w:t>c</w:t>
            </w:r>
            <w:r w:rsidRPr="00130555">
              <w:rPr>
                <w:rFonts w:ascii="Calibri" w:eastAsia="Calibri" w:hAnsi="Calibri" w:cs="Calibri"/>
                <w:i/>
              </w:rPr>
              <w:t xml:space="preserve">lient renegotiation </w:t>
            </w:r>
            <w:r w:rsidR="00955FF2">
              <w:rPr>
                <w:rFonts w:ascii="Calibri" w:eastAsia="Calibri" w:hAnsi="Calibri" w:cs="Calibri"/>
                <w:i/>
              </w:rPr>
              <w:t>p</w:t>
            </w:r>
            <w:r w:rsidRPr="00130555">
              <w:rPr>
                <w:rFonts w:ascii="Calibri" w:eastAsia="Calibri" w:hAnsi="Calibri" w:cs="Calibri"/>
                <w:i/>
              </w:rPr>
              <w:t>olicy&gt;</w:t>
            </w:r>
          </w:p>
        </w:tc>
      </w:tr>
      <w:tr w:rsidR="00190A86" w:rsidRPr="00130555" w14:paraId="0CA63952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00D52983" w14:textId="41EB8BCF" w:rsidR="00190A86" w:rsidRPr="00130555" w:rsidRDefault="00190A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Parameter CA-1(</w:t>
            </w:r>
            <w:r>
              <w:rPr>
                <w:rFonts w:ascii="Calibri" w:eastAsia="Calibri" w:hAnsi="Calibri" w:cs="Calibri"/>
              </w:rPr>
              <w:t>H</w:t>
            </w:r>
            <w:r w:rsidRPr="00130555">
              <w:rPr>
                <w:rFonts w:ascii="Calibri" w:eastAsia="Calibri" w:hAnsi="Calibri" w:cs="Calibri"/>
              </w:rPr>
              <w:t>): &lt;</w:t>
            </w:r>
            <w:r w:rsidRPr="00130555">
              <w:rPr>
                <w:rFonts w:ascii="Calibri" w:eastAsia="Calibri" w:hAnsi="Calibri" w:cs="Calibri"/>
                <w:i/>
              </w:rPr>
              <w:t xml:space="preserve">IT-defined </w:t>
            </w:r>
            <w:r>
              <w:rPr>
                <w:rFonts w:ascii="Calibri" w:eastAsia="Calibri" w:hAnsi="Calibri" w:cs="Calibri"/>
                <w:i/>
              </w:rPr>
              <w:t>c</w:t>
            </w:r>
            <w:r w:rsidRPr="00130555">
              <w:rPr>
                <w:rFonts w:ascii="Calibri" w:eastAsia="Calibri" w:hAnsi="Calibri" w:cs="Calibri"/>
                <w:i/>
              </w:rPr>
              <w:t>lient r</w:t>
            </w:r>
            <w:r>
              <w:rPr>
                <w:rFonts w:ascii="Calibri" w:eastAsia="Calibri" w:hAnsi="Calibri" w:cs="Calibri"/>
                <w:i/>
              </w:rPr>
              <w:t>evocation of certificates</w:t>
            </w:r>
            <w:r w:rsidRPr="00130555">
              <w:rPr>
                <w:rFonts w:ascii="Calibri" w:eastAsia="Calibri" w:hAnsi="Calibri" w:cs="Calibri"/>
                <w:i/>
              </w:rPr>
              <w:t xml:space="preserve"> </w:t>
            </w:r>
            <w:r w:rsidRPr="00130555">
              <w:rPr>
                <w:rFonts w:ascii="Calibri" w:eastAsia="Calibri" w:hAnsi="Calibri" w:cs="Calibri"/>
                <w:i/>
              </w:rPr>
              <w:t>&gt;</w:t>
            </w:r>
          </w:p>
        </w:tc>
      </w:tr>
      <w:tr w:rsidR="00190A86" w:rsidRPr="00130555" w14:paraId="248F7DCC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5748F297" w14:textId="67F0178C" w:rsidR="00190A86" w:rsidRPr="00130555" w:rsidRDefault="00190A86" w:rsidP="00190A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264DB">
              <w:rPr>
                <w:rFonts w:ascii="Calibri" w:eastAsia="Calibri" w:hAnsi="Calibri" w:cs="Calibri"/>
              </w:rPr>
              <w:t>Parameter CA-1(</w:t>
            </w:r>
            <w:r>
              <w:rPr>
                <w:rFonts w:ascii="Calibri" w:eastAsia="Calibri" w:hAnsi="Calibri" w:cs="Calibri"/>
              </w:rPr>
              <w:t>I</w:t>
            </w:r>
            <w:r w:rsidRPr="00A264DB">
              <w:rPr>
                <w:rFonts w:ascii="Calibri" w:eastAsia="Calibri" w:hAnsi="Calibri" w:cs="Calibri"/>
              </w:rPr>
              <w:t>): &lt;</w:t>
            </w:r>
            <w:r w:rsidRPr="00A264DB">
              <w:rPr>
                <w:rFonts w:ascii="Calibri" w:eastAsia="Calibri" w:hAnsi="Calibri" w:cs="Calibri"/>
                <w:i/>
              </w:rPr>
              <w:t xml:space="preserve">IT-defined </w:t>
            </w:r>
            <w:r>
              <w:rPr>
                <w:rFonts w:ascii="Calibri" w:eastAsia="Calibri" w:hAnsi="Calibri" w:cs="Calibri"/>
                <w:i/>
              </w:rPr>
              <w:t>PKI</w:t>
            </w:r>
            <w:r w:rsidRPr="00A264DB">
              <w:rPr>
                <w:rFonts w:ascii="Calibri" w:eastAsia="Calibri" w:hAnsi="Calibri" w:cs="Calibri"/>
                <w:i/>
              </w:rPr>
              <w:t>&gt;</w:t>
            </w:r>
          </w:p>
        </w:tc>
      </w:tr>
      <w:tr w:rsidR="00190A86" w:rsidRPr="00130555" w14:paraId="3A3C1384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</w:tcPr>
          <w:p w14:paraId="06EFD7F2" w14:textId="214B5D7E" w:rsidR="00190A86" w:rsidRPr="00A264DB" w:rsidRDefault="00190A86" w:rsidP="00190A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B2738">
              <w:rPr>
                <w:rFonts w:ascii="Calibri" w:eastAsia="Calibri" w:hAnsi="Calibri" w:cs="Calibri"/>
              </w:rPr>
              <w:t>Parameter CA-1(</w:t>
            </w:r>
            <w:r>
              <w:rPr>
                <w:rFonts w:ascii="Calibri" w:eastAsia="Calibri" w:hAnsi="Calibri" w:cs="Calibri"/>
              </w:rPr>
              <w:t>J</w:t>
            </w:r>
            <w:r w:rsidRPr="00DB2738">
              <w:rPr>
                <w:rFonts w:ascii="Calibri" w:eastAsia="Calibri" w:hAnsi="Calibri" w:cs="Calibri"/>
              </w:rPr>
              <w:t>): &lt;</w:t>
            </w:r>
            <w:r w:rsidRPr="00DB2738">
              <w:rPr>
                <w:rFonts w:ascii="Calibri" w:eastAsia="Calibri" w:hAnsi="Calibri" w:cs="Calibri"/>
                <w:i/>
              </w:rPr>
              <w:t xml:space="preserve">IT-defined </w:t>
            </w:r>
            <w:r>
              <w:rPr>
                <w:rFonts w:ascii="Calibri" w:eastAsia="Calibri" w:hAnsi="Calibri" w:cs="Calibri"/>
                <w:i/>
              </w:rPr>
              <w:t>vali</w:t>
            </w:r>
            <w:r w:rsidR="007F7F17">
              <w:rPr>
                <w:rFonts w:ascii="Calibri" w:eastAsia="Calibri" w:hAnsi="Calibri" w:cs="Calibri"/>
                <w:i/>
              </w:rPr>
              <w:t>dity period</w:t>
            </w:r>
            <w:r w:rsidRPr="00DB2738">
              <w:rPr>
                <w:rFonts w:ascii="Calibri" w:eastAsia="Calibri" w:hAnsi="Calibri" w:cs="Calibri"/>
                <w:i/>
              </w:rPr>
              <w:t>&gt;</w:t>
            </w:r>
          </w:p>
        </w:tc>
      </w:tr>
      <w:tr w:rsidR="00494E05" w:rsidRPr="00130555" w14:paraId="2FB7CCD5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  <w:vAlign w:val="bottom"/>
          </w:tcPr>
          <w:p w14:paraId="0BC935D0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lastRenderedPageBreak/>
              <w:t>Implementation Status (check all that apply):</w:t>
            </w:r>
          </w:p>
          <w:p w14:paraId="41223611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☒ Implemented</w:t>
            </w:r>
          </w:p>
          <w:p w14:paraId="58810B48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☐ Partially implemented</w:t>
            </w:r>
          </w:p>
          <w:p w14:paraId="699AB294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☐ Planned</w:t>
            </w:r>
          </w:p>
          <w:p w14:paraId="6EC1C768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☐ Alternative implementation</w:t>
            </w:r>
          </w:p>
          <w:p w14:paraId="1B0BD359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☐ Not applicable</w:t>
            </w:r>
          </w:p>
        </w:tc>
      </w:tr>
      <w:tr w:rsidR="00494E05" w:rsidRPr="00130555" w14:paraId="10D40A03" w14:textId="77777777" w:rsidTr="00FC0BBA">
        <w:trPr>
          <w:tblHeader/>
        </w:trPr>
        <w:tc>
          <w:tcPr>
            <w:tcW w:w="9350" w:type="dxa"/>
            <w:tcMar>
              <w:top w:w="43" w:type="dxa"/>
              <w:bottom w:w="43" w:type="dxa"/>
            </w:tcMar>
            <w:vAlign w:val="bottom"/>
          </w:tcPr>
          <w:p w14:paraId="3939D681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Control Origination (check all that apply):</w:t>
            </w:r>
          </w:p>
          <w:p w14:paraId="7AE6E582" w14:textId="77777777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☐ Organization</w:t>
            </w:r>
          </w:p>
          <w:p w14:paraId="06FF937B" w14:textId="533ECBF4" w:rsidR="00494E05" w:rsidRPr="00130555" w:rsidRDefault="0064080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 xml:space="preserve">☒ IT </w:t>
            </w:r>
            <w:r w:rsidR="009104F8">
              <w:rPr>
                <w:rFonts w:ascii="Calibri" w:eastAsia="Calibri" w:hAnsi="Calibri" w:cs="Calibri"/>
              </w:rPr>
              <w:t>s</w:t>
            </w:r>
            <w:r w:rsidRPr="00130555">
              <w:rPr>
                <w:rFonts w:ascii="Calibri" w:eastAsia="Calibri" w:hAnsi="Calibri" w:cs="Calibri"/>
              </w:rPr>
              <w:t xml:space="preserve">ystem </w:t>
            </w:r>
            <w:r w:rsidR="009104F8">
              <w:rPr>
                <w:rFonts w:ascii="Calibri" w:eastAsia="Calibri" w:hAnsi="Calibri" w:cs="Calibri"/>
              </w:rPr>
              <w:t>s</w:t>
            </w:r>
            <w:r w:rsidRPr="00130555">
              <w:rPr>
                <w:rFonts w:ascii="Calibri" w:eastAsia="Calibri" w:hAnsi="Calibri" w:cs="Calibri"/>
              </w:rPr>
              <w:t>pecific</w:t>
            </w:r>
          </w:p>
          <w:p w14:paraId="71602764" w14:textId="27A02563" w:rsidR="00494E05" w:rsidRPr="00130555" w:rsidRDefault="00640809" w:rsidP="006F6939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Segoe UI Symbol" w:eastAsia="Calibri" w:hAnsi="Segoe UI Symbol" w:cs="Segoe UI Symbol"/>
              </w:rPr>
              <w:t>☐</w:t>
            </w:r>
            <w:r w:rsidRPr="00130555">
              <w:rPr>
                <w:rFonts w:ascii="Calibri" w:eastAsia="Calibri" w:hAnsi="Calibri" w:cs="Calibri"/>
              </w:rPr>
              <w:t xml:space="preserve"> Hybrid (</w:t>
            </w:r>
            <w:r w:rsidR="009104F8">
              <w:rPr>
                <w:rFonts w:ascii="Calibri" w:eastAsia="Calibri" w:hAnsi="Calibri" w:cs="Calibri"/>
              </w:rPr>
              <w:t>o</w:t>
            </w:r>
            <w:r w:rsidRPr="00130555">
              <w:rPr>
                <w:rFonts w:ascii="Calibri" w:eastAsia="Calibri" w:hAnsi="Calibri" w:cs="Calibri"/>
              </w:rPr>
              <w:t xml:space="preserve">rganization and IT </w:t>
            </w:r>
            <w:r w:rsidR="009104F8">
              <w:rPr>
                <w:rFonts w:ascii="Calibri" w:eastAsia="Calibri" w:hAnsi="Calibri" w:cs="Calibri"/>
              </w:rPr>
              <w:t>s</w:t>
            </w:r>
            <w:r w:rsidRPr="00130555">
              <w:rPr>
                <w:rFonts w:ascii="Calibri" w:eastAsia="Calibri" w:hAnsi="Calibri" w:cs="Calibri"/>
              </w:rPr>
              <w:t xml:space="preserve">ystem </w:t>
            </w:r>
            <w:r w:rsidR="009104F8">
              <w:rPr>
                <w:rFonts w:ascii="Calibri" w:eastAsia="Calibri" w:hAnsi="Calibri" w:cs="Calibri"/>
              </w:rPr>
              <w:t>s</w:t>
            </w:r>
            <w:r w:rsidRPr="00130555">
              <w:rPr>
                <w:rFonts w:ascii="Calibri" w:eastAsia="Calibri" w:hAnsi="Calibri" w:cs="Calibri"/>
              </w:rPr>
              <w:t>pecific)</w:t>
            </w:r>
          </w:p>
        </w:tc>
      </w:tr>
    </w:tbl>
    <w:p w14:paraId="3190D11C" w14:textId="21CC5FC7" w:rsidR="00494E05" w:rsidRPr="00FA35A2" w:rsidRDefault="00FA35A2" w:rsidP="00854083">
      <w:pPr>
        <w:pStyle w:val="Heading2"/>
        <w:rPr>
          <w:sz w:val="24"/>
          <w:szCs w:val="24"/>
        </w:rPr>
      </w:pPr>
      <w:r w:rsidRPr="00FA35A2">
        <w:t>Control Overview</w:t>
      </w:r>
    </w:p>
    <w:tbl>
      <w:tblPr>
        <w:tblStyle w:val="a0"/>
        <w:tblW w:w="9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  <w:tblDescription w:val="Table"/>
      </w:tblPr>
      <w:tblGrid>
        <w:gridCol w:w="835"/>
        <w:gridCol w:w="8491"/>
      </w:tblGrid>
      <w:tr w:rsidR="004A1C86" w:rsidRPr="00130555" w14:paraId="391F3B42" w14:textId="77777777" w:rsidTr="00FC0BBA">
        <w:trPr>
          <w:tblHeader/>
        </w:trPr>
        <w:tc>
          <w:tcPr>
            <w:tcW w:w="835" w:type="dxa"/>
            <w:shd w:val="clear" w:color="auto" w:fill="DBE5F1" w:themeFill="accent1" w:themeFillTint="33"/>
            <w:vAlign w:val="center"/>
          </w:tcPr>
          <w:p w14:paraId="240ACF56" w14:textId="3D121D56" w:rsidR="004A1C86" w:rsidRPr="00130555" w:rsidRDefault="004A1C86" w:rsidP="00362998">
            <w:pPr>
              <w:pStyle w:val="Heading2"/>
            </w:pPr>
            <w:bookmarkStart w:id="3" w:name="_nq4hv8qynsme" w:colFirst="0" w:colLast="0"/>
            <w:bookmarkEnd w:id="3"/>
            <w:r>
              <w:t>Part</w:t>
            </w:r>
          </w:p>
        </w:tc>
        <w:tc>
          <w:tcPr>
            <w:tcW w:w="8491" w:type="dxa"/>
            <w:shd w:val="clear" w:color="auto" w:fill="DBE5F1" w:themeFill="accent1" w:themeFillTint="33"/>
            <w:vAlign w:val="center"/>
          </w:tcPr>
          <w:p w14:paraId="1BB2E59B" w14:textId="5787ABD5" w:rsidR="004A1C86" w:rsidRPr="00130555" w:rsidRDefault="00127086" w:rsidP="00362998">
            <w:pPr>
              <w:pStyle w:val="Heading2"/>
            </w:pPr>
            <w:r>
              <w:t>Description</w:t>
            </w:r>
          </w:p>
        </w:tc>
      </w:tr>
      <w:tr w:rsidR="00494E05" w:rsidRPr="00130555" w14:paraId="74C7EAA6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7E31258B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A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3E7A4C25" w14:textId="77777777" w:rsidR="00494E05" w:rsidRPr="00130555" w:rsidRDefault="00640809">
            <w:pPr>
              <w:spacing w:before="120" w:after="120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>The IT department will be responsible for identifying and selecting the types of accounts required to support the application. Examples of account types include individual, shared, group, system, guest/anonymous, emergency, developer/manufacturer/vendor, temporary, and service. A successful control response will need to address the specific requirements fulfilled by each account type in use.&gt;</w:t>
            </w:r>
          </w:p>
        </w:tc>
      </w:tr>
      <w:tr w:rsidR="00494E05" w:rsidRPr="00130555" w14:paraId="6966E4C5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3481DFE3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B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7576CB6C" w14:textId="77777777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>The IT department will be responsible for select information systems, and who will have responsibilities related to the management and maintenance. A successful control response will need to discuss how information systems are defined within the organization.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48DFCD69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2B634132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C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19C8D6A9" w14:textId="77777777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>The IT department will be responsible for identification of individuals responsible for CA assignment approval. A successful control response will need to identify the person responsible for CA assignments.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44230312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4CD821F1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D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1A9AEA80" w14:textId="7807A305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  <w:highlight w:val="yellow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 xml:space="preserve">The IT department will be responsible for identifying the </w:t>
            </w:r>
            <w:r w:rsidR="00CC203A">
              <w:rPr>
                <w:rFonts w:ascii="Calibri" w:eastAsia="Calibri" w:hAnsi="Calibri" w:cs="Calibri"/>
                <w:i/>
              </w:rPr>
              <w:t>t</w:t>
            </w:r>
            <w:r w:rsidRPr="00130555">
              <w:rPr>
                <w:rFonts w:ascii="Calibri" w:eastAsia="Calibri" w:hAnsi="Calibri" w:cs="Calibri"/>
                <w:i/>
              </w:rPr>
              <w:t xml:space="preserve">ransport </w:t>
            </w:r>
            <w:r w:rsidR="00CC203A">
              <w:rPr>
                <w:rFonts w:ascii="Calibri" w:eastAsia="Calibri" w:hAnsi="Calibri" w:cs="Calibri"/>
                <w:i/>
              </w:rPr>
              <w:t>l</w:t>
            </w:r>
            <w:r w:rsidRPr="00130555">
              <w:rPr>
                <w:rFonts w:ascii="Calibri" w:eastAsia="Calibri" w:hAnsi="Calibri" w:cs="Calibri"/>
                <w:i/>
              </w:rPr>
              <w:t xml:space="preserve">ayer </w:t>
            </w:r>
            <w:r w:rsidR="00CC203A">
              <w:rPr>
                <w:rFonts w:ascii="Calibri" w:eastAsia="Calibri" w:hAnsi="Calibri" w:cs="Calibri"/>
                <w:i/>
              </w:rPr>
              <w:t>s</w:t>
            </w:r>
            <w:r w:rsidRPr="00130555">
              <w:rPr>
                <w:rFonts w:ascii="Calibri" w:eastAsia="Calibri" w:hAnsi="Calibri" w:cs="Calibri"/>
                <w:i/>
              </w:rPr>
              <w:t xml:space="preserve">ecurity. A successful control response will need to </w:t>
            </w:r>
            <w:r w:rsidR="00FB0DE3">
              <w:rPr>
                <w:rFonts w:ascii="Calibri" w:eastAsia="Calibri" w:hAnsi="Calibri" w:cs="Calibri"/>
                <w:i/>
              </w:rPr>
              <w:t>en</w:t>
            </w:r>
            <w:r w:rsidRPr="00130555">
              <w:rPr>
                <w:rFonts w:ascii="Calibri" w:eastAsia="Calibri" w:hAnsi="Calibri" w:cs="Calibri"/>
                <w:i/>
              </w:rPr>
              <w:t>sure</w:t>
            </w:r>
            <w:r w:rsidR="00FB0DE3">
              <w:rPr>
                <w:rFonts w:ascii="Calibri" w:eastAsia="Calibri" w:hAnsi="Calibri" w:cs="Calibri"/>
                <w:i/>
              </w:rPr>
              <w:t xml:space="preserve"> that</w:t>
            </w:r>
            <w:r w:rsidRPr="00130555">
              <w:rPr>
                <w:rFonts w:ascii="Calibri" w:eastAsia="Calibri" w:hAnsi="Calibri" w:cs="Calibri"/>
                <w:i/>
              </w:rPr>
              <w:t xml:space="preserve"> the proper communication security is in place.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64BB03A1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0E39A9D3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E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5534C6CA" w14:textId="7644C176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 xml:space="preserve">The IT department will be responsible for verifying that the certificate renegotiation is disabled from the client machine. The certificate renegotiation will be initiated </w:t>
            </w:r>
            <w:r w:rsidR="00E96DA8" w:rsidRPr="00130555">
              <w:rPr>
                <w:rFonts w:ascii="Calibri" w:eastAsia="Calibri" w:hAnsi="Calibri" w:cs="Calibri"/>
                <w:i/>
              </w:rPr>
              <w:t xml:space="preserve">only </w:t>
            </w:r>
            <w:r w:rsidRPr="00130555">
              <w:rPr>
                <w:rFonts w:ascii="Calibri" w:eastAsia="Calibri" w:hAnsi="Calibri" w:cs="Calibri"/>
                <w:i/>
              </w:rPr>
              <w:t>from the server. A successful control response will need</w:t>
            </w:r>
            <w:r w:rsidR="00986949">
              <w:rPr>
                <w:rFonts w:ascii="Calibri" w:eastAsia="Calibri" w:hAnsi="Calibri" w:cs="Calibri"/>
                <w:i/>
              </w:rPr>
              <w:t xml:space="preserve"> to</w:t>
            </w:r>
            <w:r w:rsidRPr="00130555">
              <w:rPr>
                <w:rFonts w:ascii="Calibri" w:eastAsia="Calibri" w:hAnsi="Calibri" w:cs="Calibri"/>
                <w:i/>
              </w:rPr>
              <w:t xml:space="preserve"> identify </w:t>
            </w:r>
            <w:r w:rsidR="00986949">
              <w:rPr>
                <w:rFonts w:ascii="Calibri" w:eastAsia="Calibri" w:hAnsi="Calibri" w:cs="Calibri"/>
                <w:i/>
              </w:rPr>
              <w:t xml:space="preserve">that </w:t>
            </w:r>
            <w:r w:rsidRPr="00130555">
              <w:rPr>
                <w:rFonts w:ascii="Calibri" w:eastAsia="Calibri" w:hAnsi="Calibri" w:cs="Calibri"/>
                <w:i/>
              </w:rPr>
              <w:t>a policy is in place to be audited and maintained.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5BFBEBD5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758725EE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F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5CC7119F" w14:textId="02FDEE89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  <w:highlight w:val="yellow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>The IT department will be responsible for defining the role of an individual to be notified if any criterion [a, b, or c] is met. A successful control response will identify the individuals and procedures used to enforce those conditions.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405EDF3F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6A9339DF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lastRenderedPageBreak/>
              <w:t>Part G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2D2004A4" w14:textId="28A7000E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&lt;</w:t>
            </w:r>
            <w:r w:rsidRPr="00130555">
              <w:rPr>
                <w:rFonts w:ascii="Calibri" w:eastAsia="Calibri" w:hAnsi="Calibri" w:cs="Calibri"/>
                <w:i/>
              </w:rPr>
              <w:t>The IT department will be responsible for the assignment of a certificate if any criterion [a or b] is met. This may include the assignment and revocation of certificates. The individual will be responsible for notifying the person responsible for the certificate authorization. A successful control response will outline the procedure and the communication needed to properly report the issue.</w:t>
            </w:r>
            <w:r w:rsidRPr="00130555">
              <w:rPr>
                <w:rFonts w:ascii="Calibri" w:eastAsia="Calibri" w:hAnsi="Calibri" w:cs="Calibri"/>
              </w:rPr>
              <w:t>&gt;</w:t>
            </w:r>
          </w:p>
        </w:tc>
      </w:tr>
      <w:tr w:rsidR="00494E05" w:rsidRPr="00130555" w14:paraId="27AF24D0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12A73B4C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H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349A8A0F" w14:textId="1FF5A5F6" w:rsidR="00494E05" w:rsidRPr="00090DAE" w:rsidRDefault="00640809">
            <w:pPr>
              <w:spacing w:before="120" w:after="120"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090DAE">
              <w:rPr>
                <w:rFonts w:ascii="Calibri" w:eastAsia="Calibri" w:hAnsi="Calibri" w:cs="Calibri"/>
                <w:i/>
                <w:sz w:val="24"/>
                <w:szCs w:val="24"/>
              </w:rPr>
              <w:t>&lt;</w:t>
            </w:r>
            <w:r w:rsidR="00090DAE" w:rsidRPr="00090DAE">
              <w:rPr>
                <w:sz w:val="24"/>
                <w:szCs w:val="24"/>
              </w:rPr>
              <w:t xml:space="preserve"> </w:t>
            </w:r>
            <w:r w:rsidR="00090DAE" w:rsidRPr="00090D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 and System Administrators will manage automated revocation settings and manual controls.</w:t>
            </w:r>
            <w:r w:rsidR="00090DAE" w:rsidRPr="00090DAE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Pr="00090DAE">
              <w:rPr>
                <w:rFonts w:ascii="Calibri" w:eastAsia="Calibri" w:hAnsi="Calibri" w:cs="Calibri"/>
                <w:i/>
                <w:sz w:val="24"/>
                <w:szCs w:val="24"/>
              </w:rPr>
              <w:t>&gt;</w:t>
            </w:r>
          </w:p>
        </w:tc>
      </w:tr>
      <w:tr w:rsidR="00494E05" w:rsidRPr="00130555" w14:paraId="4102196A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0523FE5B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I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7B7B3736" w14:textId="06620F47" w:rsidR="00494E05" w:rsidRPr="00130555" w:rsidRDefault="00640809" w:rsidP="00893BD8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  <w:i/>
              </w:rPr>
              <w:t>&lt;</w:t>
            </w:r>
            <w:r w:rsidR="00090DAE">
              <w:t xml:space="preserve"> </w:t>
            </w:r>
            <w:r w:rsidR="00090DAE" w:rsidRPr="00090D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 is responsible for encrypting certificates and managing their validity periods using PKI.</w:t>
            </w:r>
            <w:r w:rsidR="00090DAE" w:rsidRPr="00130555">
              <w:rPr>
                <w:rFonts w:ascii="Calibri" w:eastAsia="Calibri" w:hAnsi="Calibri" w:cs="Calibri"/>
                <w:i/>
              </w:rPr>
              <w:t xml:space="preserve"> </w:t>
            </w:r>
            <w:r w:rsidRPr="00130555">
              <w:rPr>
                <w:rFonts w:ascii="Calibri" w:eastAsia="Calibri" w:hAnsi="Calibri" w:cs="Calibri"/>
                <w:i/>
              </w:rPr>
              <w:t>&gt;</w:t>
            </w:r>
          </w:p>
        </w:tc>
      </w:tr>
      <w:tr w:rsidR="00494E05" w:rsidRPr="00130555" w14:paraId="2583A570" w14:textId="77777777" w:rsidTr="00FC0BBA">
        <w:trPr>
          <w:tblHeader/>
        </w:trPr>
        <w:tc>
          <w:tcPr>
            <w:tcW w:w="835" w:type="dxa"/>
            <w:tcBorders>
              <w:right w:val="nil"/>
            </w:tcBorders>
            <w:shd w:val="clear" w:color="auto" w:fill="DEEBF6"/>
          </w:tcPr>
          <w:p w14:paraId="0895C8A9" w14:textId="77777777" w:rsidR="00494E05" w:rsidRPr="00130555" w:rsidRDefault="00640809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 w:rsidRPr="00130555">
              <w:rPr>
                <w:rFonts w:ascii="Calibri" w:eastAsia="Calibri" w:hAnsi="Calibri" w:cs="Calibri"/>
              </w:rPr>
              <w:t>Part J</w:t>
            </w:r>
          </w:p>
        </w:tc>
        <w:tc>
          <w:tcPr>
            <w:tcW w:w="8491" w:type="dxa"/>
            <w:tcMar>
              <w:top w:w="43" w:type="dxa"/>
              <w:bottom w:w="43" w:type="dxa"/>
            </w:tcMar>
          </w:tcPr>
          <w:p w14:paraId="753FA401" w14:textId="0270240B" w:rsidR="00494E05" w:rsidRPr="00130555" w:rsidRDefault="00640809">
            <w:pPr>
              <w:spacing w:before="120" w:after="120" w:line="240" w:lineRule="auto"/>
              <w:rPr>
                <w:rFonts w:ascii="Calibri" w:eastAsia="Calibri" w:hAnsi="Calibri" w:cs="Calibri"/>
                <w:i/>
              </w:rPr>
            </w:pPr>
            <w:r w:rsidRPr="00130555">
              <w:rPr>
                <w:rFonts w:ascii="Calibri" w:eastAsia="Calibri" w:hAnsi="Calibri" w:cs="Calibri"/>
                <w:i/>
              </w:rPr>
              <w:t>&lt;</w:t>
            </w:r>
            <w:r w:rsidR="00090DAE" w:rsidRPr="00130555">
              <w:rPr>
                <w:rFonts w:ascii="Calibri" w:eastAsia="Calibri" w:hAnsi="Calibri" w:cs="Calibri"/>
                <w:i/>
              </w:rPr>
              <w:t xml:space="preserve"> </w:t>
            </w:r>
            <w:r w:rsidR="00090DAE" w:rsidRPr="00090DA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 sets the validity period of certificates based on the organization’s policy and certificate usage.</w:t>
            </w:r>
            <w:r w:rsidRPr="00090DA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&gt;</w:t>
            </w:r>
          </w:p>
        </w:tc>
      </w:tr>
    </w:tbl>
    <w:p w14:paraId="466E82E4" w14:textId="77777777" w:rsidR="00494E05" w:rsidRDefault="00494E05" w:rsidP="00362998">
      <w:pPr>
        <w:keepNext/>
        <w:keepLines/>
        <w:widowControl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rdcrjn" w:colFirst="0" w:colLast="0"/>
      <w:bookmarkEnd w:id="4"/>
    </w:p>
    <w:p w14:paraId="711EC93A" w14:textId="77777777" w:rsidR="0091204A" w:rsidRDefault="0091204A">
      <w:pPr>
        <w:keepNext/>
        <w:keepLines/>
        <w:widowControl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120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6213" w14:textId="77777777" w:rsidR="0079499C" w:rsidRDefault="0079499C" w:rsidP="002561A0">
      <w:pPr>
        <w:spacing w:line="240" w:lineRule="auto"/>
      </w:pPr>
      <w:r>
        <w:separator/>
      </w:r>
    </w:p>
  </w:endnote>
  <w:endnote w:type="continuationSeparator" w:id="0">
    <w:p w14:paraId="1B89D828" w14:textId="77777777" w:rsidR="0079499C" w:rsidRDefault="0079499C" w:rsidP="0025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F" w:usb1="1200FF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6031" w14:textId="77777777" w:rsidR="00FC0BBA" w:rsidRDefault="00FC0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577611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  <w:sz w:val="24"/>
        <w:szCs w:val="24"/>
      </w:rPr>
    </w:sdtEndPr>
    <w:sdtContent>
      <w:p w14:paraId="3CB2366D" w14:textId="4F30FFB4" w:rsidR="002561A0" w:rsidRPr="002561A0" w:rsidRDefault="002561A0">
        <w:pPr>
          <w:pStyle w:val="Footer"/>
          <w:jc w:val="center"/>
          <w:rPr>
            <w:rFonts w:ascii="Calibri" w:hAnsi="Calibri" w:cs="Calibri"/>
            <w:sz w:val="24"/>
            <w:szCs w:val="24"/>
          </w:rPr>
        </w:pPr>
        <w:r w:rsidRPr="002561A0">
          <w:rPr>
            <w:rFonts w:ascii="Calibri" w:hAnsi="Calibri" w:cs="Calibri"/>
            <w:sz w:val="24"/>
            <w:szCs w:val="24"/>
          </w:rPr>
          <w:fldChar w:fldCharType="begin"/>
        </w:r>
        <w:r w:rsidRPr="002561A0">
          <w:rPr>
            <w:rFonts w:ascii="Calibri" w:hAnsi="Calibri" w:cs="Calibri"/>
            <w:sz w:val="24"/>
            <w:szCs w:val="24"/>
          </w:rPr>
          <w:instrText xml:space="preserve"> PAGE   \* MERGEFORMAT </w:instrText>
        </w:r>
        <w:r w:rsidRPr="002561A0">
          <w:rPr>
            <w:rFonts w:ascii="Calibri" w:hAnsi="Calibri" w:cs="Calibri"/>
            <w:sz w:val="24"/>
            <w:szCs w:val="24"/>
          </w:rPr>
          <w:fldChar w:fldCharType="separate"/>
        </w:r>
        <w:r w:rsidR="0090160E">
          <w:rPr>
            <w:rFonts w:ascii="Calibri" w:hAnsi="Calibri" w:cs="Calibri"/>
            <w:noProof/>
            <w:sz w:val="24"/>
            <w:szCs w:val="24"/>
          </w:rPr>
          <w:t>2</w:t>
        </w:r>
        <w:r w:rsidRPr="002561A0">
          <w:rPr>
            <w:rFonts w:ascii="Calibri" w:hAnsi="Calibri" w:cs="Calibri"/>
            <w:noProof/>
            <w:sz w:val="24"/>
            <w:szCs w:val="24"/>
          </w:rPr>
          <w:fldChar w:fldCharType="end"/>
        </w:r>
      </w:p>
    </w:sdtContent>
  </w:sdt>
  <w:p w14:paraId="6EBD2E3E" w14:textId="77777777" w:rsidR="002561A0" w:rsidRDefault="00256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ACAE" w14:textId="77777777" w:rsidR="00FC0BBA" w:rsidRDefault="00FC0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684E" w14:textId="77777777" w:rsidR="0079499C" w:rsidRDefault="0079499C" w:rsidP="002561A0">
      <w:pPr>
        <w:spacing w:line="240" w:lineRule="auto"/>
      </w:pPr>
      <w:r>
        <w:separator/>
      </w:r>
    </w:p>
  </w:footnote>
  <w:footnote w:type="continuationSeparator" w:id="0">
    <w:p w14:paraId="60F5D657" w14:textId="77777777" w:rsidR="0079499C" w:rsidRDefault="0079499C" w:rsidP="00256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16707" w14:textId="77777777" w:rsidR="00FC0BBA" w:rsidRDefault="00FC0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5D96" w14:textId="1D7045E7" w:rsidR="002561A0" w:rsidRDefault="002561A0" w:rsidP="00FC0BBA">
    <w:pPr>
      <w:spacing w:after="120"/>
      <w:jc w:val="center"/>
    </w:pPr>
    <w:r>
      <w:rPr>
        <w:noProof/>
      </w:rPr>
      <w:drawing>
        <wp:inline distT="0" distB="0" distL="0" distR="0" wp14:anchorId="6BA45630" wp14:editId="55C90FCE">
          <wp:extent cx="2743200" cy="409575"/>
          <wp:effectExtent l="0" t="0" r="0" b="9525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7451" w14:textId="77777777" w:rsidR="00FC0BBA" w:rsidRDefault="00FC0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D0A3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4CD"/>
    <w:multiLevelType w:val="multilevel"/>
    <w:tmpl w:val="07129AB0"/>
    <w:lvl w:ilvl="0">
      <w:start w:val="1"/>
      <w:numFmt w:val="upperLetter"/>
      <w:pStyle w:val="List"/>
      <w:lvlText w:val="%1."/>
      <w:lvlJc w:val="left"/>
      <w:pPr>
        <w:ind w:left="1066" w:hanging="360"/>
      </w:pPr>
      <w:rPr>
        <w:rFonts w:ascii="Calibri" w:eastAsia="Times New Roman" w:hAnsi="Calibri" w:cs="Times New Roman" w:hint="default"/>
        <w:color w:val="000000"/>
        <w:sz w:val="22"/>
        <w:szCs w:val="22"/>
      </w:rPr>
    </w:lvl>
    <w:lvl w:ilvl="1">
      <w:start w:val="1"/>
      <w:numFmt w:val="lowerLetter"/>
      <w:pStyle w:val="List2"/>
      <w:lvlText w:val="%2."/>
      <w:lvlJc w:val="left"/>
      <w:pPr>
        <w:ind w:left="1772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2ED0"/>
    <w:multiLevelType w:val="multilevel"/>
    <w:tmpl w:val="FE3A8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556945">
    <w:abstractNumId w:val="1"/>
  </w:num>
  <w:num w:numId="2" w16cid:durableId="436828204">
    <w:abstractNumId w:val="0"/>
  </w:num>
  <w:num w:numId="3" w16cid:durableId="181818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E05"/>
    <w:rsid w:val="0002538C"/>
    <w:rsid w:val="00090DAE"/>
    <w:rsid w:val="000B1DB2"/>
    <w:rsid w:val="00127086"/>
    <w:rsid w:val="00130555"/>
    <w:rsid w:val="001858AD"/>
    <w:rsid w:val="00190A86"/>
    <w:rsid w:val="00190DE5"/>
    <w:rsid w:val="002561A0"/>
    <w:rsid w:val="00362998"/>
    <w:rsid w:val="004438AF"/>
    <w:rsid w:val="0045724E"/>
    <w:rsid w:val="00465BA2"/>
    <w:rsid w:val="00474824"/>
    <w:rsid w:val="00494E05"/>
    <w:rsid w:val="004A1C86"/>
    <w:rsid w:val="00501D15"/>
    <w:rsid w:val="005E241D"/>
    <w:rsid w:val="005F7279"/>
    <w:rsid w:val="006167D2"/>
    <w:rsid w:val="00640809"/>
    <w:rsid w:val="006415C1"/>
    <w:rsid w:val="006638A8"/>
    <w:rsid w:val="00696341"/>
    <w:rsid w:val="006E4256"/>
    <w:rsid w:val="006F6939"/>
    <w:rsid w:val="0079499C"/>
    <w:rsid w:val="007F60A4"/>
    <w:rsid w:val="007F7F17"/>
    <w:rsid w:val="00854083"/>
    <w:rsid w:val="00887750"/>
    <w:rsid w:val="00893BD8"/>
    <w:rsid w:val="0090160E"/>
    <w:rsid w:val="009104F8"/>
    <w:rsid w:val="0091204A"/>
    <w:rsid w:val="0094242A"/>
    <w:rsid w:val="00955FF2"/>
    <w:rsid w:val="00986949"/>
    <w:rsid w:val="00AA1CCF"/>
    <w:rsid w:val="00B97CDC"/>
    <w:rsid w:val="00CC203A"/>
    <w:rsid w:val="00CC3E83"/>
    <w:rsid w:val="00D03C75"/>
    <w:rsid w:val="00D0681F"/>
    <w:rsid w:val="00D754B4"/>
    <w:rsid w:val="00E627D7"/>
    <w:rsid w:val="00E72B96"/>
    <w:rsid w:val="00E96DA8"/>
    <w:rsid w:val="00EC45E3"/>
    <w:rsid w:val="00EE5D41"/>
    <w:rsid w:val="00F03652"/>
    <w:rsid w:val="00F2486D"/>
    <w:rsid w:val="00F534C6"/>
    <w:rsid w:val="00F9083C"/>
    <w:rsid w:val="00FA35A2"/>
    <w:rsid w:val="00FB0DE3"/>
    <w:rsid w:val="00F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A3924"/>
  <w15:docId w15:val="{93AD0147-56A6-B740-A550-A36F80F4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0E"/>
  </w:style>
  <w:style w:type="paragraph" w:styleId="Heading1">
    <w:name w:val="heading 1"/>
    <w:basedOn w:val="Normal"/>
    <w:next w:val="Normal"/>
    <w:uiPriority w:val="9"/>
    <w:qFormat/>
    <w:rsid w:val="00190DE5"/>
    <w:pPr>
      <w:keepNext/>
      <w:keepLines/>
      <w:spacing w:before="120" w:after="120" w:line="240" w:lineRule="auto"/>
      <w:jc w:val="center"/>
      <w:outlineLvl w:val="0"/>
    </w:pPr>
    <w:rPr>
      <w:rFonts w:ascii="Calibri" w:eastAsia="Calibri" w:hAnsi="Calibri" w:cs="Calibri"/>
      <w:b/>
      <w:color w:val="1F4E79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54083"/>
    <w:pPr>
      <w:keepNext/>
      <w:keepLines/>
      <w:spacing w:before="120" w:after="120" w:line="240" w:lineRule="auto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1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A0"/>
  </w:style>
  <w:style w:type="paragraph" w:styleId="Footer">
    <w:name w:val="footer"/>
    <w:basedOn w:val="Normal"/>
    <w:link w:val="FooterChar"/>
    <w:uiPriority w:val="99"/>
    <w:unhideWhenUsed/>
    <w:rsid w:val="002561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A0"/>
  </w:style>
  <w:style w:type="paragraph" w:styleId="NormalWeb">
    <w:name w:val="Normal (Web)"/>
    <w:basedOn w:val="Normal"/>
    <w:uiPriority w:val="99"/>
    <w:semiHidden/>
    <w:unhideWhenUsed/>
    <w:rsid w:val="0025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BA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unhideWhenUsed/>
    <w:rsid w:val="00FC0BBA"/>
    <w:pPr>
      <w:numPr>
        <w:numId w:val="1"/>
      </w:numPr>
      <w:spacing w:before="120" w:after="120" w:line="240" w:lineRule="auto"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unhideWhenUsed/>
    <w:rsid w:val="00FC0BBA"/>
    <w:pPr>
      <w:widowControl w:val="0"/>
      <w:numPr>
        <w:ilvl w:val="1"/>
        <w:numId w:val="1"/>
      </w:numPr>
      <w:spacing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B97CDC"/>
    <w:rPr>
      <w:b/>
      <w:bCs/>
    </w:rPr>
  </w:style>
  <w:style w:type="paragraph" w:styleId="ListParagraph">
    <w:name w:val="List Paragraph"/>
    <w:basedOn w:val="Normal"/>
    <w:uiPriority w:val="34"/>
    <w:qFormat/>
    <w:rsid w:val="00B9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9696CC-F2F2-490B-BD43-A9EF6CEB2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48514D-D60F-4DC6-AFDF-E68943CF6B9F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AB19FCF8-7D52-4E0D-8A13-8DDB15698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426E71-C796-4AA8-A504-7E587ED49E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 300 Milestone Two Checklist</vt:lpstr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300 Milestone Two Checklist</dc:title>
  <cp:lastModifiedBy>Merren, Joshua</cp:lastModifiedBy>
  <cp:revision>6</cp:revision>
  <dcterms:created xsi:type="dcterms:W3CDTF">2019-02-28T14:52:00Z</dcterms:created>
  <dcterms:modified xsi:type="dcterms:W3CDTF">2024-07-23T20:34:00Z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