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099E" w14:textId="77777777" w:rsidR="00F31C54" w:rsidRDefault="00960EED" w:rsidP="00EA57AF">
      <w:pPr>
        <w:pStyle w:val="Heading1"/>
      </w:pPr>
      <w:r w:rsidRPr="00A64514">
        <w:t xml:space="preserve">CYB 260 Project One </w:t>
      </w:r>
      <w:r w:rsidRPr="00EA57AF">
        <w:t>Milestone</w:t>
      </w:r>
      <w:r w:rsidRPr="00A64514">
        <w:t xml:space="preserve"> Template</w:t>
      </w:r>
    </w:p>
    <w:p w14:paraId="77123B07" w14:textId="77777777" w:rsidR="00EA57AF" w:rsidRPr="00B2660B" w:rsidRDefault="00EA57AF" w:rsidP="00EA57AF">
      <w:pPr>
        <w:rPr>
          <w:sz w:val="22"/>
          <w:szCs w:val="22"/>
          <w:lang w:val="en-US"/>
        </w:rPr>
      </w:pPr>
    </w:p>
    <w:p w14:paraId="0F4CBD09" w14:textId="77777777" w:rsidR="00B2660B" w:rsidRDefault="00B2660B" w:rsidP="00B2660B">
      <w:pPr>
        <w:widowControl/>
        <w:suppressAutoHyphens/>
        <w:contextualSpacing/>
        <w:rPr>
          <w:sz w:val="22"/>
          <w:szCs w:val="22"/>
          <w:lang w:val="en-US"/>
        </w:rPr>
      </w:pPr>
      <w:r w:rsidRPr="1C49149F">
        <w:rPr>
          <w:sz w:val="22"/>
          <w:szCs w:val="22"/>
          <w:lang w:val="en-US"/>
        </w:rPr>
        <w:t>Replace the bracketed text with the relevant information.</w:t>
      </w:r>
    </w:p>
    <w:p w14:paraId="35BAD0B2" w14:textId="77777777" w:rsidR="00B2660B" w:rsidRDefault="00B2660B" w:rsidP="00B2660B">
      <w:pPr>
        <w:widowControl/>
        <w:suppressAutoHyphens/>
        <w:contextualSpacing/>
        <w:rPr>
          <w:sz w:val="22"/>
          <w:szCs w:val="22"/>
          <w:lang w:val="en-US"/>
        </w:rPr>
      </w:pPr>
    </w:p>
    <w:p w14:paraId="1C602A61" w14:textId="77777777" w:rsidR="00F31C54" w:rsidRPr="00717824" w:rsidRDefault="00960EED" w:rsidP="00EA57AF">
      <w:pPr>
        <w:pStyle w:val="List"/>
      </w:pPr>
      <w:r w:rsidRPr="00A204A9">
        <w:t>Analysis</w:t>
      </w:r>
      <w:r w:rsidRPr="00717824">
        <w:t xml:space="preserve"> of </w:t>
      </w:r>
      <w:r w:rsidR="00717824" w:rsidRPr="00717824">
        <w:t>Requirements</w:t>
      </w:r>
    </w:p>
    <w:p w14:paraId="026A41C2" w14:textId="6277217E" w:rsidR="00F31C54" w:rsidRDefault="009561B8" w:rsidP="00EA57AF">
      <w:pPr>
        <w:widowControl/>
        <w:suppressAutoHyphens/>
        <w:ind w:left="720"/>
        <w:contextualSpacing/>
        <w:rPr>
          <w:sz w:val="22"/>
          <w:szCs w:val="22"/>
          <w:lang w:val="en-US"/>
        </w:rPr>
      </w:pPr>
      <w:r w:rsidRPr="1C49149F">
        <w:rPr>
          <w:sz w:val="22"/>
          <w:szCs w:val="22"/>
          <w:lang w:val="en-US"/>
        </w:rPr>
        <w:t xml:space="preserve">Select three fair information practice principles from the privacy statement provided by your instructor. Then fill </w:t>
      </w:r>
      <w:r w:rsidR="00717824" w:rsidRPr="1C49149F">
        <w:rPr>
          <w:sz w:val="22"/>
          <w:szCs w:val="22"/>
          <w:lang w:val="en-US"/>
        </w:rPr>
        <w:t>in the cells in the table below.</w:t>
      </w:r>
      <w:r w:rsidR="73DF2DFD" w:rsidRPr="1C49149F">
        <w:rPr>
          <w:sz w:val="22"/>
          <w:szCs w:val="22"/>
          <w:lang w:val="en-US"/>
        </w:rPr>
        <w:t xml:space="preserve"> </w:t>
      </w:r>
    </w:p>
    <w:p w14:paraId="672A6659" w14:textId="77777777" w:rsidR="009561B8" w:rsidRPr="00717824" w:rsidRDefault="009561B8" w:rsidP="00EA57AF">
      <w:pPr>
        <w:widowControl/>
        <w:suppressAutoHyphens/>
        <w:ind w:left="720"/>
        <w:contextualSpacing/>
        <w:rPr>
          <w:sz w:val="22"/>
          <w:szCs w:val="22"/>
          <w:lang w:val="en-US"/>
        </w:rPr>
      </w:pPr>
    </w:p>
    <w:p w14:paraId="49D3615B" w14:textId="77777777" w:rsidR="00F31C54" w:rsidRPr="00EA57AF" w:rsidRDefault="00960EED" w:rsidP="00EA57AF">
      <w:pPr>
        <w:jc w:val="center"/>
        <w:rPr>
          <w:b/>
          <w:bCs/>
          <w:sz w:val="22"/>
          <w:szCs w:val="22"/>
        </w:rPr>
      </w:pPr>
      <w:r w:rsidRPr="00EA57AF">
        <w:rPr>
          <w:b/>
          <w:bCs/>
          <w:sz w:val="22"/>
          <w:szCs w:val="22"/>
        </w:rPr>
        <w:t>Requirements Table</w:t>
      </w:r>
    </w:p>
    <w:tbl>
      <w:tblPr>
        <w:tblStyle w:val="a"/>
        <w:tblW w:w="4583" w:type="pct"/>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A0" w:firstRow="1" w:lastRow="0" w:firstColumn="1" w:lastColumn="0" w:noHBand="1" w:noVBand="1"/>
        <w:tblDescription w:val="Table"/>
      </w:tblPr>
      <w:tblGrid>
        <w:gridCol w:w="2141"/>
        <w:gridCol w:w="2140"/>
        <w:gridCol w:w="2140"/>
        <w:gridCol w:w="2140"/>
      </w:tblGrid>
      <w:tr w:rsidR="00717824" w:rsidRPr="00717824" w14:paraId="61236721" w14:textId="77777777" w:rsidTr="128E4BD9">
        <w:trPr>
          <w:cantSplit/>
          <w:tblHeader/>
        </w:trPr>
        <w:tc>
          <w:tcPr>
            <w:tcW w:w="1250" w:type="pct"/>
            <w:shd w:val="clear" w:color="auto" w:fill="auto"/>
            <w:tcMar>
              <w:top w:w="0" w:type="dxa"/>
              <w:left w:w="115" w:type="dxa"/>
              <w:bottom w:w="0" w:type="dxa"/>
              <w:right w:w="115" w:type="dxa"/>
            </w:tcMar>
          </w:tcPr>
          <w:p w14:paraId="3CC92D69" w14:textId="77777777" w:rsidR="00F31C54" w:rsidRPr="00717824" w:rsidRDefault="00960EED" w:rsidP="00EA57AF">
            <w:pPr>
              <w:widowControl/>
              <w:suppressAutoHyphens/>
              <w:contextualSpacing/>
              <w:jc w:val="center"/>
              <w:rPr>
                <w:b/>
                <w:sz w:val="22"/>
                <w:szCs w:val="22"/>
                <w:lang w:val="en-US"/>
              </w:rPr>
            </w:pPr>
            <w:r w:rsidRPr="00717824">
              <w:rPr>
                <w:b/>
                <w:sz w:val="22"/>
                <w:szCs w:val="22"/>
                <w:lang w:val="en-US"/>
              </w:rPr>
              <w:t>Fair Information Practice Principle</w:t>
            </w:r>
          </w:p>
        </w:tc>
        <w:tc>
          <w:tcPr>
            <w:tcW w:w="1250" w:type="pct"/>
            <w:shd w:val="clear" w:color="auto" w:fill="auto"/>
            <w:tcMar>
              <w:top w:w="0" w:type="dxa"/>
              <w:left w:w="115" w:type="dxa"/>
              <w:bottom w:w="0" w:type="dxa"/>
              <w:right w:w="115" w:type="dxa"/>
            </w:tcMar>
          </w:tcPr>
          <w:p w14:paraId="44D603A1" w14:textId="77777777" w:rsidR="00F31C54" w:rsidRPr="00717824" w:rsidRDefault="00960EED" w:rsidP="00EA57AF">
            <w:pPr>
              <w:widowControl/>
              <w:suppressAutoHyphens/>
              <w:contextualSpacing/>
              <w:jc w:val="center"/>
              <w:rPr>
                <w:b/>
                <w:sz w:val="22"/>
                <w:szCs w:val="22"/>
                <w:lang w:val="en-US"/>
              </w:rPr>
            </w:pPr>
            <w:r w:rsidRPr="00717824">
              <w:rPr>
                <w:b/>
                <w:sz w:val="22"/>
                <w:szCs w:val="22"/>
                <w:lang w:val="en-US"/>
              </w:rPr>
              <w:t>Applicable Privacy Law</w:t>
            </w:r>
            <w:r w:rsidR="00717824">
              <w:rPr>
                <w:b/>
                <w:sz w:val="22"/>
                <w:szCs w:val="22"/>
                <w:lang w:val="en-US"/>
              </w:rPr>
              <w:t xml:space="preserve"> or Law</w:t>
            </w:r>
            <w:r w:rsidRPr="00717824">
              <w:rPr>
                <w:b/>
                <w:sz w:val="22"/>
                <w:szCs w:val="22"/>
                <w:lang w:val="en-US"/>
              </w:rPr>
              <w:t>s</w:t>
            </w:r>
          </w:p>
        </w:tc>
        <w:tc>
          <w:tcPr>
            <w:tcW w:w="1250" w:type="pct"/>
            <w:shd w:val="clear" w:color="auto" w:fill="auto"/>
            <w:tcMar>
              <w:top w:w="0" w:type="dxa"/>
              <w:left w:w="115" w:type="dxa"/>
              <w:bottom w:w="0" w:type="dxa"/>
              <w:right w:w="115" w:type="dxa"/>
            </w:tcMar>
          </w:tcPr>
          <w:p w14:paraId="41F26B7A" w14:textId="77777777" w:rsidR="00F31C54" w:rsidRPr="00717824" w:rsidRDefault="00960EED" w:rsidP="00EA57AF">
            <w:pPr>
              <w:widowControl/>
              <w:suppressAutoHyphens/>
              <w:contextualSpacing/>
              <w:jc w:val="center"/>
              <w:rPr>
                <w:b/>
                <w:sz w:val="22"/>
                <w:szCs w:val="22"/>
                <w:lang w:val="en-US"/>
              </w:rPr>
            </w:pPr>
            <w:r w:rsidRPr="00717824">
              <w:rPr>
                <w:b/>
                <w:sz w:val="22"/>
                <w:szCs w:val="22"/>
                <w:lang w:val="en-US"/>
              </w:rPr>
              <w:t>Level of Compliance</w:t>
            </w:r>
          </w:p>
        </w:tc>
        <w:tc>
          <w:tcPr>
            <w:tcW w:w="1250" w:type="pct"/>
            <w:shd w:val="clear" w:color="auto" w:fill="auto"/>
            <w:tcMar>
              <w:top w:w="0" w:type="dxa"/>
              <w:left w:w="115" w:type="dxa"/>
              <w:bottom w:w="0" w:type="dxa"/>
              <w:right w:w="115" w:type="dxa"/>
            </w:tcMar>
          </w:tcPr>
          <w:p w14:paraId="11AA9B3C" w14:textId="77777777" w:rsidR="00F31C54" w:rsidRPr="00717824" w:rsidRDefault="00960EED" w:rsidP="00EA57AF">
            <w:pPr>
              <w:widowControl/>
              <w:suppressAutoHyphens/>
              <w:contextualSpacing/>
              <w:jc w:val="center"/>
              <w:rPr>
                <w:b/>
                <w:sz w:val="22"/>
                <w:szCs w:val="22"/>
                <w:lang w:val="en-US"/>
              </w:rPr>
            </w:pPr>
            <w:r w:rsidRPr="00717824">
              <w:rPr>
                <w:b/>
                <w:sz w:val="22"/>
                <w:szCs w:val="22"/>
                <w:lang w:val="en-US"/>
              </w:rPr>
              <w:t>Safeguards</w:t>
            </w:r>
          </w:p>
        </w:tc>
      </w:tr>
      <w:tr w:rsidR="00717824" w:rsidRPr="00717824" w14:paraId="6E7BEAA2" w14:textId="77777777" w:rsidTr="128E4BD9">
        <w:trPr>
          <w:cantSplit/>
        </w:trPr>
        <w:tc>
          <w:tcPr>
            <w:tcW w:w="1250" w:type="pct"/>
            <w:shd w:val="clear" w:color="auto" w:fill="auto"/>
            <w:tcMar>
              <w:top w:w="0" w:type="dxa"/>
              <w:left w:w="115" w:type="dxa"/>
              <w:bottom w:w="0" w:type="dxa"/>
              <w:right w:w="115" w:type="dxa"/>
            </w:tcMar>
          </w:tcPr>
          <w:p w14:paraId="63E4A9CD" w14:textId="7A942ED2"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t>Protecting Your Account</w:t>
            </w:r>
          </w:p>
        </w:tc>
        <w:tc>
          <w:tcPr>
            <w:tcW w:w="1250" w:type="pct"/>
            <w:shd w:val="clear" w:color="auto" w:fill="auto"/>
            <w:tcMar>
              <w:top w:w="0" w:type="dxa"/>
              <w:left w:w="115" w:type="dxa"/>
              <w:bottom w:w="0" w:type="dxa"/>
              <w:right w:w="115" w:type="dxa"/>
            </w:tcMar>
          </w:tcPr>
          <w:p w14:paraId="0A37501D" w14:textId="31AEC0A8" w:rsidR="00F31C54" w:rsidRPr="00EE1F21" w:rsidRDefault="00EE1F21" w:rsidP="00EA57AF">
            <w:pPr>
              <w:widowControl/>
              <w:suppressAutoHyphens/>
              <w:contextualSpacing/>
              <w:rPr>
                <w:rFonts w:ascii="Times New Roman" w:hAnsi="Times New Roman" w:cs="Times New Roman"/>
                <w:color w:val="000000" w:themeColor="text1"/>
                <w:lang w:val="en-US"/>
              </w:rPr>
            </w:pPr>
            <w:r w:rsidRPr="00EE1F21">
              <w:rPr>
                <w:rFonts w:ascii="Times New Roman" w:hAnsi="Times New Roman" w:cs="Times New Roman"/>
                <w:color w:val="000000" w:themeColor="text1"/>
              </w:rPr>
              <w:t>This principle aligns with the HIPAA Security Rule, which requires appropriate administrative, physical, and technical safeguards to ensure the confidentiality, integrity, and security of electronic protected health information.</w:t>
            </w:r>
          </w:p>
        </w:tc>
        <w:tc>
          <w:tcPr>
            <w:tcW w:w="1250" w:type="pct"/>
            <w:shd w:val="clear" w:color="auto" w:fill="auto"/>
            <w:tcMar>
              <w:top w:w="0" w:type="dxa"/>
              <w:left w:w="115" w:type="dxa"/>
              <w:bottom w:w="0" w:type="dxa"/>
              <w:right w:w="115" w:type="dxa"/>
            </w:tcMar>
          </w:tcPr>
          <w:p w14:paraId="5DAB6C7B" w14:textId="4FB20858"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rPr>
              <w:t>The organization meets the requirements as it stresses the importance of maintaining the confidentiality and integrity of user logon credentials, akin to the HIPAA Security Rule's requirements.</w:t>
            </w:r>
          </w:p>
        </w:tc>
        <w:tc>
          <w:tcPr>
            <w:tcW w:w="1250" w:type="pct"/>
            <w:shd w:val="clear" w:color="auto" w:fill="auto"/>
            <w:tcMar>
              <w:top w:w="0" w:type="dxa"/>
              <w:left w:w="115" w:type="dxa"/>
              <w:bottom w:w="0" w:type="dxa"/>
              <w:right w:w="115" w:type="dxa"/>
            </w:tcMar>
          </w:tcPr>
          <w:p w14:paraId="02EB378F" w14:textId="0E8CD644"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rPr>
              <w:t>To ensure compliance, the company should implement two-factor authentication, regular password updates, and encrypted storage of credentials.</w:t>
            </w:r>
          </w:p>
        </w:tc>
      </w:tr>
      <w:tr w:rsidR="00717824" w:rsidRPr="00717824" w14:paraId="4F6584BE" w14:textId="77777777" w:rsidTr="128E4BD9">
        <w:trPr>
          <w:cantSplit/>
        </w:trPr>
        <w:tc>
          <w:tcPr>
            <w:tcW w:w="1250" w:type="pct"/>
            <w:shd w:val="clear" w:color="auto" w:fill="auto"/>
            <w:tcMar>
              <w:top w:w="0" w:type="dxa"/>
              <w:left w:w="115" w:type="dxa"/>
              <w:bottom w:w="0" w:type="dxa"/>
              <w:right w:w="115" w:type="dxa"/>
            </w:tcMar>
          </w:tcPr>
          <w:p w14:paraId="09AF38FC" w14:textId="03B3EAB3"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t>Personal Information and Choice</w:t>
            </w:r>
          </w:p>
        </w:tc>
        <w:tc>
          <w:tcPr>
            <w:tcW w:w="1250" w:type="pct"/>
            <w:shd w:val="clear" w:color="auto" w:fill="auto"/>
            <w:tcMar>
              <w:top w:w="0" w:type="dxa"/>
              <w:left w:w="115" w:type="dxa"/>
              <w:bottom w:w="0" w:type="dxa"/>
              <w:right w:w="115" w:type="dxa"/>
            </w:tcMar>
          </w:tcPr>
          <w:p w14:paraId="6A05A809" w14:textId="2A250B3D"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t>This principle is supported by the General Data Protection Regulation (GDPR), which grants individuals the right to access their personal information and the choice to consent to data processing.</w:t>
            </w:r>
          </w:p>
        </w:tc>
        <w:tc>
          <w:tcPr>
            <w:tcW w:w="1250" w:type="pct"/>
            <w:shd w:val="clear" w:color="auto" w:fill="auto"/>
            <w:tcMar>
              <w:top w:w="0" w:type="dxa"/>
              <w:left w:w="115" w:type="dxa"/>
              <w:bottom w:w="0" w:type="dxa"/>
              <w:right w:w="115" w:type="dxa"/>
            </w:tcMar>
          </w:tcPr>
          <w:p w14:paraId="5A39BBE3" w14:textId="447C371B"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t>The company exceeds GDPR requirements by not only allowing users to access and update their information but also by providing the option to opt-out of data collection.</w:t>
            </w:r>
          </w:p>
        </w:tc>
        <w:tc>
          <w:tcPr>
            <w:tcW w:w="1250" w:type="pct"/>
            <w:shd w:val="clear" w:color="auto" w:fill="auto"/>
            <w:tcMar>
              <w:top w:w="0" w:type="dxa"/>
              <w:left w:w="115" w:type="dxa"/>
              <w:bottom w:w="0" w:type="dxa"/>
              <w:right w:w="115" w:type="dxa"/>
            </w:tcMar>
          </w:tcPr>
          <w:p w14:paraId="329A131C" w14:textId="77777777" w:rsidR="00EE1F21" w:rsidRPr="00EE1F21" w:rsidRDefault="00EE1F21" w:rsidP="00EE1F21">
            <w:pPr>
              <w:rPr>
                <w:rFonts w:ascii="Times New Roman" w:hAnsi="Times New Roman" w:cs="Times New Roman"/>
                <w:color w:val="000000" w:themeColor="text1"/>
              </w:rPr>
            </w:pPr>
            <w:r w:rsidRPr="00EE1F21">
              <w:rPr>
                <w:rFonts w:ascii="Times New Roman" w:hAnsi="Times New Roman" w:cs="Times New Roman"/>
                <w:color w:val="000000" w:themeColor="text1"/>
              </w:rPr>
              <w:t>Implement regular audits to ensure compliance and provide clear, accessible information on how users can manage their consent and personal information.</w:t>
            </w:r>
          </w:p>
          <w:p w14:paraId="41C8F396" w14:textId="7D0DB12D" w:rsidR="00F31C54" w:rsidRPr="00EE1F21" w:rsidRDefault="00F31C54" w:rsidP="00EA57AF">
            <w:pPr>
              <w:widowControl/>
              <w:suppressAutoHyphens/>
              <w:contextualSpacing/>
              <w:rPr>
                <w:rFonts w:ascii="Times New Roman" w:hAnsi="Times New Roman" w:cs="Times New Roman"/>
                <w:color w:val="000000" w:themeColor="text1"/>
                <w:sz w:val="22"/>
                <w:szCs w:val="22"/>
                <w:lang w:val="en-US"/>
              </w:rPr>
            </w:pPr>
          </w:p>
        </w:tc>
      </w:tr>
      <w:tr w:rsidR="00717824" w:rsidRPr="00717824" w14:paraId="15AA318D" w14:textId="77777777" w:rsidTr="128E4BD9">
        <w:trPr>
          <w:cantSplit/>
        </w:trPr>
        <w:tc>
          <w:tcPr>
            <w:tcW w:w="1250" w:type="pct"/>
            <w:shd w:val="clear" w:color="auto" w:fill="auto"/>
            <w:tcMar>
              <w:top w:w="0" w:type="dxa"/>
              <w:left w:w="115" w:type="dxa"/>
              <w:bottom w:w="0" w:type="dxa"/>
              <w:right w:w="115" w:type="dxa"/>
            </w:tcMar>
          </w:tcPr>
          <w:p w14:paraId="01512BE8" w14:textId="49F5E942"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lastRenderedPageBreak/>
              <w:t>Use of Cookies</w:t>
            </w:r>
          </w:p>
        </w:tc>
        <w:tc>
          <w:tcPr>
            <w:tcW w:w="1250" w:type="pct"/>
            <w:shd w:val="clear" w:color="auto" w:fill="auto"/>
            <w:tcMar>
              <w:top w:w="0" w:type="dxa"/>
              <w:left w:w="115" w:type="dxa"/>
              <w:bottom w:w="0" w:type="dxa"/>
              <w:right w:w="115" w:type="dxa"/>
            </w:tcMar>
          </w:tcPr>
          <w:p w14:paraId="72A3D3EC" w14:textId="4385D15D"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t xml:space="preserve">This principle aligns with the </w:t>
            </w:r>
            <w:proofErr w:type="spellStart"/>
            <w:r w:rsidRPr="00EE1F21">
              <w:rPr>
                <w:rFonts w:ascii="Times New Roman" w:hAnsi="Times New Roman" w:cs="Times New Roman"/>
                <w:color w:val="000000" w:themeColor="text1"/>
              </w:rPr>
              <w:t>ePrivacy</w:t>
            </w:r>
            <w:proofErr w:type="spellEnd"/>
            <w:r w:rsidRPr="00EE1F21">
              <w:rPr>
                <w:rFonts w:ascii="Times New Roman" w:hAnsi="Times New Roman" w:cs="Times New Roman"/>
                <w:color w:val="000000" w:themeColor="text1"/>
              </w:rPr>
              <w:t xml:space="preserve"> Directive (Cookie Law), which mandates clear consent for the storage of or access to information on a user’s device.</w:t>
            </w:r>
          </w:p>
        </w:tc>
        <w:tc>
          <w:tcPr>
            <w:tcW w:w="1250" w:type="pct"/>
            <w:shd w:val="clear" w:color="auto" w:fill="auto"/>
            <w:tcMar>
              <w:top w:w="0" w:type="dxa"/>
              <w:left w:w="115" w:type="dxa"/>
              <w:bottom w:w="0" w:type="dxa"/>
              <w:right w:w="115" w:type="dxa"/>
            </w:tcMar>
          </w:tcPr>
          <w:p w14:paraId="0D0B940D" w14:textId="1D795484"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t>The company meets the requirements by informing users about the use of cookies and requiring consent before setting them.</w:t>
            </w:r>
          </w:p>
        </w:tc>
        <w:tc>
          <w:tcPr>
            <w:tcW w:w="1250" w:type="pct"/>
            <w:shd w:val="clear" w:color="auto" w:fill="auto"/>
            <w:tcMar>
              <w:top w:w="0" w:type="dxa"/>
              <w:left w:w="115" w:type="dxa"/>
              <w:bottom w:w="0" w:type="dxa"/>
              <w:right w:w="115" w:type="dxa"/>
            </w:tcMar>
          </w:tcPr>
          <w:p w14:paraId="0E27B00A" w14:textId="3FFF259B" w:rsidR="00F31C54" w:rsidRPr="00EE1F21" w:rsidRDefault="00EE1F21" w:rsidP="00EA57AF">
            <w:pPr>
              <w:widowControl/>
              <w:suppressAutoHyphens/>
              <w:contextualSpacing/>
              <w:rPr>
                <w:rFonts w:ascii="Times New Roman" w:hAnsi="Times New Roman" w:cs="Times New Roman"/>
                <w:sz w:val="22"/>
                <w:szCs w:val="22"/>
                <w:lang w:val="en-US"/>
              </w:rPr>
            </w:pPr>
            <w:r w:rsidRPr="00EE1F21">
              <w:rPr>
                <w:rFonts w:ascii="Times New Roman" w:hAnsi="Times New Roman" w:cs="Times New Roman"/>
                <w:color w:val="000000" w:themeColor="text1"/>
              </w:rPr>
              <w:t>The organization should ensure that cookie consent mechanisms are robust</w:t>
            </w:r>
            <w:r>
              <w:rPr>
                <w:rFonts w:ascii="Times New Roman" w:hAnsi="Times New Roman" w:cs="Times New Roman"/>
                <w:color w:val="000000" w:themeColor="text1"/>
              </w:rPr>
              <w:t xml:space="preserve"> and clear</w:t>
            </w:r>
            <w:r w:rsidRPr="00EE1F21">
              <w:rPr>
                <w:rFonts w:ascii="Times New Roman" w:hAnsi="Times New Roman" w:cs="Times New Roman"/>
                <w:color w:val="000000" w:themeColor="text1"/>
              </w:rPr>
              <w:t xml:space="preserve"> and allow users easy options to withdraw consent at any time.</w:t>
            </w:r>
          </w:p>
        </w:tc>
      </w:tr>
    </w:tbl>
    <w:p w14:paraId="60061E4C" w14:textId="77777777" w:rsidR="00F31C54" w:rsidRPr="00717824" w:rsidRDefault="00F31C54" w:rsidP="00EA57AF">
      <w:pPr>
        <w:widowControl/>
        <w:suppressAutoHyphens/>
        <w:ind w:left="720"/>
        <w:contextualSpacing/>
        <w:rPr>
          <w:b/>
          <w:sz w:val="22"/>
          <w:szCs w:val="22"/>
          <w:lang w:val="en-US"/>
        </w:rPr>
      </w:pPr>
    </w:p>
    <w:p w14:paraId="020B5576" w14:textId="77777777" w:rsidR="00F31C54" w:rsidRPr="00717824" w:rsidRDefault="00960EED" w:rsidP="00EA57AF">
      <w:pPr>
        <w:widowControl/>
        <w:numPr>
          <w:ilvl w:val="0"/>
          <w:numId w:val="2"/>
        </w:numPr>
        <w:pBdr>
          <w:top w:val="nil"/>
          <w:left w:val="nil"/>
          <w:bottom w:val="nil"/>
          <w:right w:val="nil"/>
          <w:between w:val="nil"/>
        </w:pBdr>
        <w:suppressAutoHyphens/>
        <w:contextualSpacing/>
        <w:rPr>
          <w:b/>
          <w:sz w:val="22"/>
          <w:szCs w:val="22"/>
          <w:lang w:val="en-US"/>
        </w:rPr>
      </w:pPr>
      <w:r w:rsidRPr="00717824">
        <w:rPr>
          <w:b/>
          <w:sz w:val="22"/>
          <w:szCs w:val="22"/>
          <w:lang w:val="en-US"/>
        </w:rPr>
        <w:t>Business Implications</w:t>
      </w:r>
    </w:p>
    <w:p w14:paraId="44EAFD9C" w14:textId="77777777" w:rsidR="007E7644" w:rsidRDefault="007E7644" w:rsidP="00EA57AF">
      <w:pPr>
        <w:widowControl/>
        <w:suppressAutoHyphens/>
        <w:ind w:left="720"/>
        <w:contextualSpacing/>
        <w:rPr>
          <w:sz w:val="22"/>
          <w:szCs w:val="22"/>
          <w:lang w:val="en-US"/>
        </w:rPr>
      </w:pPr>
    </w:p>
    <w:p w14:paraId="14C805D0" w14:textId="66EE7BA3" w:rsidR="00F31C54" w:rsidRDefault="000B3E55" w:rsidP="00EA57AF">
      <w:pPr>
        <w:pStyle w:val="List2"/>
      </w:pPr>
      <w:r>
        <w:t xml:space="preserve">Discuss the role of ethics as a business driver in this decision. How do the organizational values (as an ethical stance) align </w:t>
      </w:r>
      <w:r w:rsidR="153E4D90">
        <w:t>with</w:t>
      </w:r>
      <w:r>
        <w:t xml:space="preserve"> the decision? What responsibility does the organization have </w:t>
      </w:r>
      <w:r w:rsidR="7C7EEB61">
        <w:t>regarding</w:t>
      </w:r>
      <w:r>
        <w:t xml:space="preserve"> privacy?</w:t>
      </w:r>
    </w:p>
    <w:p w14:paraId="232DA130" w14:textId="389EF8BD" w:rsidR="00EE1F21" w:rsidRPr="00EE1F21" w:rsidRDefault="00EE1F21" w:rsidP="00EE1F21">
      <w:pPr>
        <w:pStyle w:val="List2"/>
        <w:numPr>
          <w:ilvl w:val="0"/>
          <w:numId w:val="0"/>
        </w:numPr>
        <w:ind w:left="720"/>
        <w:rPr>
          <w:rFonts w:ascii="Times New Roman" w:hAnsi="Times New Roman" w:cs="Times New Roman"/>
          <w:color w:val="000000" w:themeColor="text1"/>
          <w:sz w:val="24"/>
          <w:szCs w:val="24"/>
        </w:rPr>
      </w:pPr>
      <w:r w:rsidRPr="00EE1F21">
        <w:rPr>
          <w:rFonts w:ascii="Times New Roman" w:hAnsi="Times New Roman" w:cs="Times New Roman"/>
          <w:color w:val="000000" w:themeColor="text1"/>
          <w:sz w:val="24"/>
          <w:szCs w:val="24"/>
        </w:rPr>
        <w:t>The organizational values of prioritizing good health and being good citizens align closely with the decision to enforce strict privacy policies. This ethical stance ensures that the company not only complies with legal standards but also upholds the trust and well-being of its users, which is fundamental to the organization's responsibility regarding privacy.</w:t>
      </w:r>
    </w:p>
    <w:p w14:paraId="2CDCE773" w14:textId="46D98E1C" w:rsidR="00EA57AF" w:rsidRPr="00E90580" w:rsidRDefault="00EA57AF" w:rsidP="00EA57AF">
      <w:pPr>
        <w:pStyle w:val="List2"/>
        <w:numPr>
          <w:ilvl w:val="0"/>
          <w:numId w:val="0"/>
        </w:numPr>
        <w:ind w:left="720"/>
      </w:pPr>
    </w:p>
    <w:p w14:paraId="45FB0818" w14:textId="77777777" w:rsidR="00717824" w:rsidRPr="00E90580" w:rsidRDefault="00717824" w:rsidP="00EA57AF">
      <w:pPr>
        <w:widowControl/>
        <w:suppressAutoHyphens/>
        <w:ind w:left="720"/>
        <w:contextualSpacing/>
        <w:rPr>
          <w:sz w:val="22"/>
          <w:szCs w:val="22"/>
          <w:lang w:val="en-US"/>
        </w:rPr>
      </w:pPr>
    </w:p>
    <w:p w14:paraId="569B7929" w14:textId="77C22AF9" w:rsidR="00F31C54" w:rsidRDefault="000B3E55" w:rsidP="00EA57AF">
      <w:pPr>
        <w:pStyle w:val="List2"/>
      </w:pPr>
      <w:r>
        <w:t xml:space="preserve">Discuss how your personal ethical stance aligns </w:t>
      </w:r>
      <w:r w:rsidR="078FFDA2">
        <w:t>with</w:t>
      </w:r>
      <w:r>
        <w:t xml:space="preserve"> the decision. How did you apply an ethical framework or decision strategy to inform your position?</w:t>
      </w:r>
    </w:p>
    <w:p w14:paraId="049F31CB" w14:textId="08C7A005" w:rsidR="00717824" w:rsidRPr="00EE1F21" w:rsidRDefault="00EE1F21" w:rsidP="00EA57AF">
      <w:pPr>
        <w:widowControl/>
        <w:suppressAutoHyphens/>
        <w:ind w:left="720"/>
        <w:contextualSpacing/>
        <w:rPr>
          <w:rFonts w:ascii="Times New Roman" w:hAnsi="Times New Roman" w:cs="Times New Roman"/>
          <w:color w:val="000000" w:themeColor="text1"/>
        </w:rPr>
      </w:pPr>
      <w:r w:rsidRPr="00EE1F21">
        <w:rPr>
          <w:rFonts w:ascii="Times New Roman" w:hAnsi="Times New Roman" w:cs="Times New Roman"/>
          <w:color w:val="000000" w:themeColor="text1"/>
        </w:rPr>
        <w:t>My ethical stance, which values transparency and user empowerment in data handling, aligns with the company's decision. I applied the ethical framework of utilitarianism, aiming to produce the greatest good for the most significant number by supporting practices that enhance user trust and satisfaction.</w:t>
      </w:r>
    </w:p>
    <w:p w14:paraId="51FD3B41" w14:textId="77777777" w:rsidR="00EE1F21" w:rsidRPr="00E90580" w:rsidRDefault="00EE1F21" w:rsidP="00EA57AF">
      <w:pPr>
        <w:widowControl/>
        <w:suppressAutoHyphens/>
        <w:ind w:left="720"/>
        <w:contextualSpacing/>
        <w:rPr>
          <w:sz w:val="22"/>
          <w:szCs w:val="22"/>
          <w:lang w:val="en-US"/>
        </w:rPr>
      </w:pPr>
    </w:p>
    <w:p w14:paraId="520201D9" w14:textId="7BACB62A" w:rsidR="00F31C54" w:rsidRDefault="000B3E55" w:rsidP="00EA57AF">
      <w:pPr>
        <w:pStyle w:val="List2"/>
      </w:pPr>
      <w:r w:rsidRPr="00E90580">
        <w:t xml:space="preserve">What would you recommend the company do? Describe how you came to this decision. How did you balance differences between the organizational ethics and your own personal ethics? </w:t>
      </w:r>
    </w:p>
    <w:p w14:paraId="3461D779" w14:textId="109A3404" w:rsidR="00717824" w:rsidRPr="00EE1F21" w:rsidRDefault="00EE1F21" w:rsidP="00EE1F21">
      <w:pPr>
        <w:pStyle w:val="List2"/>
        <w:numPr>
          <w:ilvl w:val="0"/>
          <w:numId w:val="0"/>
        </w:numPr>
        <w:ind w:left="720"/>
        <w:rPr>
          <w:rFonts w:ascii="Times New Roman" w:hAnsi="Times New Roman" w:cs="Times New Roman"/>
          <w:color w:val="000000" w:themeColor="text1"/>
          <w:sz w:val="24"/>
          <w:szCs w:val="24"/>
        </w:rPr>
      </w:pPr>
      <w:r w:rsidRPr="00EE1F21">
        <w:rPr>
          <w:rFonts w:ascii="Times New Roman" w:hAnsi="Times New Roman" w:cs="Times New Roman"/>
          <w:color w:val="000000" w:themeColor="text1"/>
          <w:sz w:val="24"/>
          <w:szCs w:val="24"/>
        </w:rPr>
        <w:t>I recommend that Fit-vantage continue to strengthen its privacy practices by integrating more user-friendly data management tools. This approach aligns with the organizational values of no fine print (transparency) and my personal ethics. It balances the business goal of user trust with sustainable growth.</w:t>
      </w:r>
    </w:p>
    <w:sectPr w:rsidR="00717824" w:rsidRPr="00EE1F21" w:rsidSect="00C45147">
      <w:headerReference w:type="default" r:id="rId10"/>
      <w:footerReference w:type="default" r:id="rId11"/>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FEBB" w14:textId="77777777" w:rsidR="002C0792" w:rsidRDefault="002C0792" w:rsidP="00717824">
      <w:r>
        <w:separator/>
      </w:r>
    </w:p>
  </w:endnote>
  <w:endnote w:type="continuationSeparator" w:id="0">
    <w:p w14:paraId="6F43CB4F" w14:textId="77777777" w:rsidR="002C0792" w:rsidRDefault="002C0792" w:rsidP="00717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22A9" w14:textId="77777777" w:rsidR="006634D8" w:rsidRPr="006634D8" w:rsidRDefault="006634D8" w:rsidP="006634D8">
    <w:pPr>
      <w:pStyle w:val="Footer"/>
      <w:jc w:val="center"/>
      <w:rPr>
        <w:sz w:val="22"/>
        <w:szCs w:val="22"/>
      </w:rPr>
    </w:pPr>
    <w:r w:rsidRPr="006634D8">
      <w:rPr>
        <w:sz w:val="22"/>
        <w:szCs w:val="22"/>
      </w:rPr>
      <w:fldChar w:fldCharType="begin"/>
    </w:r>
    <w:r w:rsidRPr="006634D8">
      <w:rPr>
        <w:sz w:val="22"/>
        <w:szCs w:val="22"/>
      </w:rPr>
      <w:instrText xml:space="preserve"> PAGE   \* MERGEFORMAT </w:instrText>
    </w:r>
    <w:r w:rsidRPr="006634D8">
      <w:rPr>
        <w:sz w:val="22"/>
        <w:szCs w:val="22"/>
      </w:rPr>
      <w:fldChar w:fldCharType="separate"/>
    </w:r>
    <w:r w:rsidR="00A204A9">
      <w:rPr>
        <w:noProof/>
        <w:sz w:val="22"/>
        <w:szCs w:val="22"/>
      </w:rPr>
      <w:t>1</w:t>
    </w:r>
    <w:r w:rsidRPr="006634D8">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7C2B" w14:textId="77777777" w:rsidR="002C0792" w:rsidRDefault="002C0792" w:rsidP="00717824">
      <w:r>
        <w:separator/>
      </w:r>
    </w:p>
  </w:footnote>
  <w:footnote w:type="continuationSeparator" w:id="0">
    <w:p w14:paraId="43CEAE91" w14:textId="77777777" w:rsidR="002C0792" w:rsidRDefault="002C0792" w:rsidP="00717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D8B6" w14:textId="77B3A097" w:rsidR="00717824" w:rsidRDefault="0010576A" w:rsidP="00717824">
    <w:pPr>
      <w:spacing w:after="200"/>
      <w:jc w:val="center"/>
    </w:pPr>
    <w:r w:rsidRPr="00085B81">
      <w:rPr>
        <w:noProof/>
      </w:rPr>
      <w:drawing>
        <wp:inline distT="0" distB="0" distL="0" distR="0" wp14:anchorId="4124C9E6" wp14:editId="3B625E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3EC2E468"/>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BE50B48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E40D9AC"/>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2B5492A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0048098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53AED5B2"/>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AA34226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8B46E78"/>
    <w:multiLevelType w:val="multilevel"/>
    <w:tmpl w:val="74241E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2808C5"/>
    <w:multiLevelType w:val="multilevel"/>
    <w:tmpl w:val="D62000F0"/>
    <w:lvl w:ilvl="0">
      <w:start w:val="1"/>
      <w:numFmt w:val="upperRoman"/>
      <w:pStyle w:val="List"/>
      <w:lvlText w:val="%1."/>
      <w:lvlJc w:val="right"/>
      <w:pPr>
        <w:ind w:left="720" w:hanging="360"/>
      </w:pPr>
      <w:rPr>
        <w:b w:val="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FD1578"/>
    <w:multiLevelType w:val="multilevel"/>
    <w:tmpl w:val="EE0A7B3E"/>
    <w:lvl w:ilvl="0">
      <w:start w:val="1"/>
      <w:numFmt w:val="upperLetter"/>
      <w:pStyle w:val="List2"/>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6700083">
    <w:abstractNumId w:val="9"/>
  </w:num>
  <w:num w:numId="2" w16cid:durableId="47997666">
    <w:abstractNumId w:val="8"/>
  </w:num>
  <w:num w:numId="3" w16cid:durableId="1601795840">
    <w:abstractNumId w:val="7"/>
  </w:num>
  <w:num w:numId="4" w16cid:durableId="1859661654">
    <w:abstractNumId w:val="6"/>
  </w:num>
  <w:num w:numId="5" w16cid:durableId="1780880392">
    <w:abstractNumId w:val="4"/>
  </w:num>
  <w:num w:numId="6" w16cid:durableId="1245186466">
    <w:abstractNumId w:val="3"/>
  </w:num>
  <w:num w:numId="7" w16cid:durableId="1455706759">
    <w:abstractNumId w:val="2"/>
  </w:num>
  <w:num w:numId="8" w16cid:durableId="196282339">
    <w:abstractNumId w:val="1"/>
  </w:num>
  <w:num w:numId="9" w16cid:durableId="53748428">
    <w:abstractNumId w:val="5"/>
  </w:num>
  <w:num w:numId="10" w16cid:durableId="37889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2NTY3NjMwN7QwNjdU0lEKTi0uzszPAykwqgUAo1SkOywAAAA="/>
  </w:docVars>
  <w:rsids>
    <w:rsidRoot w:val="00F31C54"/>
    <w:rsid w:val="00044C1C"/>
    <w:rsid w:val="000B3E55"/>
    <w:rsid w:val="0010576A"/>
    <w:rsid w:val="0019278A"/>
    <w:rsid w:val="001D4B3E"/>
    <w:rsid w:val="002C0792"/>
    <w:rsid w:val="002F20F6"/>
    <w:rsid w:val="003331EA"/>
    <w:rsid w:val="004272ED"/>
    <w:rsid w:val="004B3CCD"/>
    <w:rsid w:val="005F4960"/>
    <w:rsid w:val="006634D8"/>
    <w:rsid w:val="0068754A"/>
    <w:rsid w:val="006E35B7"/>
    <w:rsid w:val="00717824"/>
    <w:rsid w:val="007A0C89"/>
    <w:rsid w:val="007E7644"/>
    <w:rsid w:val="009561B8"/>
    <w:rsid w:val="00960EED"/>
    <w:rsid w:val="009C6DAB"/>
    <w:rsid w:val="00A204A9"/>
    <w:rsid w:val="00A510AA"/>
    <w:rsid w:val="00A64514"/>
    <w:rsid w:val="00A8302E"/>
    <w:rsid w:val="00AE775E"/>
    <w:rsid w:val="00AF0D57"/>
    <w:rsid w:val="00B2660B"/>
    <w:rsid w:val="00BB4FE7"/>
    <w:rsid w:val="00C45147"/>
    <w:rsid w:val="00CE63FF"/>
    <w:rsid w:val="00CF6D87"/>
    <w:rsid w:val="00E6578E"/>
    <w:rsid w:val="00E71A52"/>
    <w:rsid w:val="00E90580"/>
    <w:rsid w:val="00EA57AF"/>
    <w:rsid w:val="00EE1F21"/>
    <w:rsid w:val="00F27F0A"/>
    <w:rsid w:val="00F31C54"/>
    <w:rsid w:val="00F70D6B"/>
    <w:rsid w:val="078FFDA2"/>
    <w:rsid w:val="128E4BD9"/>
    <w:rsid w:val="153E4D90"/>
    <w:rsid w:val="18D5D1C6"/>
    <w:rsid w:val="1C49149F"/>
    <w:rsid w:val="22DCF0A1"/>
    <w:rsid w:val="2D11E0C7"/>
    <w:rsid w:val="38A0CFEE"/>
    <w:rsid w:val="443CA8A9"/>
    <w:rsid w:val="45350D69"/>
    <w:rsid w:val="4679D06D"/>
    <w:rsid w:val="5419B7D0"/>
    <w:rsid w:val="585E43E2"/>
    <w:rsid w:val="639F8826"/>
    <w:rsid w:val="73DF2DFD"/>
    <w:rsid w:val="76D64759"/>
    <w:rsid w:val="7C7EE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EC84F"/>
  <w15:docId w15:val="{A2C035ED-F925-4BCE-BCA5-DF345E9F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04A9"/>
  </w:style>
  <w:style w:type="paragraph" w:styleId="Heading1">
    <w:name w:val="heading 1"/>
    <w:basedOn w:val="Normal"/>
    <w:next w:val="Normal"/>
    <w:rsid w:val="00EA57AF"/>
    <w:pPr>
      <w:widowControl/>
      <w:suppressAutoHyphens/>
      <w:contextualSpacing/>
      <w:jc w:val="center"/>
      <w:outlineLvl w:val="0"/>
    </w:pPr>
    <w:rPr>
      <w:b/>
      <w:szCs w:val="22"/>
      <w:lang w:val="en-US"/>
    </w:rPr>
  </w:style>
  <w:style w:type="paragraph" w:styleId="Heading2">
    <w:name w:val="heading 2"/>
    <w:basedOn w:val="Normal"/>
    <w:next w:val="Normal"/>
    <w:rsid w:val="00A64514"/>
    <w:pPr>
      <w:widowControl/>
      <w:suppressAutoHyphens/>
      <w:spacing w:after="120"/>
      <w:jc w:val="center"/>
      <w:outlineLvl w:val="1"/>
    </w:pPr>
    <w:rPr>
      <w:b/>
      <w:sz w:val="22"/>
      <w:szCs w:val="22"/>
      <w:lang w:val="en-US"/>
    </w:rPr>
  </w:style>
  <w:style w:type="paragraph" w:styleId="Heading3">
    <w:name w:val="heading 3"/>
    <w:basedOn w:val="Normal"/>
    <w:next w:val="Normal"/>
    <w:pPr>
      <w:keepNext/>
      <w:keepLines/>
      <w:pBdr>
        <w:top w:val="nil"/>
        <w:left w:val="nil"/>
        <w:bottom w:val="nil"/>
        <w:right w:val="nil"/>
        <w:between w:val="nil"/>
      </w:pBdr>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semiHidden/>
    <w:unhideWhenUsed/>
    <w:rsid w:val="00717824"/>
    <w:rPr>
      <w:color w:val="0000FF"/>
      <w:u w:val="single"/>
    </w:rPr>
  </w:style>
  <w:style w:type="paragraph" w:styleId="ListParagraph">
    <w:name w:val="List Paragraph"/>
    <w:basedOn w:val="Normal"/>
    <w:uiPriority w:val="34"/>
    <w:qFormat/>
    <w:rsid w:val="00717824"/>
    <w:pPr>
      <w:ind w:left="720"/>
      <w:contextualSpacing/>
    </w:pPr>
  </w:style>
  <w:style w:type="table" w:styleId="TableGrid">
    <w:name w:val="Table Grid"/>
    <w:basedOn w:val="TableNormal"/>
    <w:uiPriority w:val="39"/>
    <w:rsid w:val="0071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7824"/>
    <w:pPr>
      <w:tabs>
        <w:tab w:val="center" w:pos="4680"/>
        <w:tab w:val="right" w:pos="9360"/>
      </w:tabs>
    </w:pPr>
  </w:style>
  <w:style w:type="character" w:customStyle="1" w:styleId="HeaderChar">
    <w:name w:val="Header Char"/>
    <w:basedOn w:val="DefaultParagraphFont"/>
    <w:link w:val="Header"/>
    <w:uiPriority w:val="99"/>
    <w:rsid w:val="00717824"/>
  </w:style>
  <w:style w:type="paragraph" w:styleId="Footer">
    <w:name w:val="footer"/>
    <w:basedOn w:val="Normal"/>
    <w:link w:val="FooterChar"/>
    <w:uiPriority w:val="99"/>
    <w:unhideWhenUsed/>
    <w:rsid w:val="00717824"/>
    <w:pPr>
      <w:tabs>
        <w:tab w:val="center" w:pos="4680"/>
        <w:tab w:val="right" w:pos="9360"/>
      </w:tabs>
    </w:pPr>
  </w:style>
  <w:style w:type="character" w:customStyle="1" w:styleId="FooterChar">
    <w:name w:val="Footer Char"/>
    <w:basedOn w:val="DefaultParagraphFont"/>
    <w:link w:val="Footer"/>
    <w:uiPriority w:val="99"/>
    <w:rsid w:val="00717824"/>
  </w:style>
  <w:style w:type="paragraph" w:styleId="BalloonText">
    <w:name w:val="Balloon Text"/>
    <w:basedOn w:val="Normal"/>
    <w:link w:val="BalloonTextChar"/>
    <w:uiPriority w:val="99"/>
    <w:semiHidden/>
    <w:unhideWhenUsed/>
    <w:rsid w:val="006E35B7"/>
    <w:rPr>
      <w:rFonts w:ascii="Tahoma" w:hAnsi="Tahoma" w:cs="Tahoma"/>
      <w:sz w:val="16"/>
      <w:szCs w:val="16"/>
    </w:rPr>
  </w:style>
  <w:style w:type="character" w:customStyle="1" w:styleId="BalloonTextChar">
    <w:name w:val="Balloon Text Char"/>
    <w:basedOn w:val="DefaultParagraphFont"/>
    <w:link w:val="BalloonText"/>
    <w:uiPriority w:val="99"/>
    <w:semiHidden/>
    <w:rsid w:val="006E35B7"/>
    <w:rPr>
      <w:rFonts w:ascii="Tahoma" w:hAnsi="Tahoma" w:cs="Tahoma"/>
      <w:sz w:val="16"/>
      <w:szCs w:val="16"/>
    </w:rPr>
  </w:style>
  <w:style w:type="paragraph" w:styleId="List">
    <w:name w:val="List"/>
    <w:basedOn w:val="Normal"/>
    <w:uiPriority w:val="99"/>
    <w:unhideWhenUsed/>
    <w:rsid w:val="00A204A9"/>
    <w:pPr>
      <w:widowControl/>
      <w:numPr>
        <w:numId w:val="2"/>
      </w:numPr>
      <w:suppressAutoHyphens/>
      <w:contextualSpacing/>
    </w:pPr>
    <w:rPr>
      <w:b/>
      <w:sz w:val="22"/>
      <w:szCs w:val="22"/>
      <w:lang w:val="en-US"/>
    </w:rPr>
  </w:style>
  <w:style w:type="paragraph" w:styleId="List2">
    <w:name w:val="List 2"/>
    <w:basedOn w:val="Normal"/>
    <w:uiPriority w:val="99"/>
    <w:unhideWhenUsed/>
    <w:rsid w:val="00A204A9"/>
    <w:pPr>
      <w:widowControl/>
      <w:numPr>
        <w:numId w:val="1"/>
      </w:numPr>
      <w:suppressAutoHyphens/>
      <w:contextualSpacing/>
    </w:pPr>
    <w:rPr>
      <w:sz w:val="22"/>
      <w:szCs w:val="22"/>
      <w:lang w:val="en-US"/>
    </w:rPr>
  </w:style>
  <w:style w:type="paragraph" w:styleId="Revision">
    <w:name w:val="Revision"/>
    <w:hidden/>
    <w:uiPriority w:val="99"/>
    <w:semiHidden/>
    <w:rsid w:val="003331EA"/>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06AED-78BF-4C89-90E1-33105FDB986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D5F3029D-007D-49A7-8131-63D5C9D59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C43673-ABC6-4048-97B9-4AE7432002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525</Words>
  <Characters>2994</Characters>
  <Application>Microsoft Office Word</Application>
  <DocSecurity>0</DocSecurity>
  <Lines>24</Lines>
  <Paragraphs>7</Paragraphs>
  <ScaleCrop>false</ScaleCrop>
  <Company>SNHU</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260 Project One Milestone Template</dc:title>
  <dc:creator>Rebecca Olson</dc:creator>
  <cp:lastModifiedBy>Merren, Joshua</cp:lastModifiedBy>
  <cp:revision>3</cp:revision>
  <dcterms:created xsi:type="dcterms:W3CDTF">2024-05-18T21:01:00Z</dcterms:created>
  <dcterms:modified xsi:type="dcterms:W3CDTF">2024-05-18T21:14:00Z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10260900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