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6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4261"/>
        <w:gridCol w:w="4261"/>
      </w:tblGrid>
      <w:tr w14:paraId="14255B7E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261" w:type="dxa"/>
          </w:tcPr>
          <w:p w14:paraId="40655DDC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Older</w:t>
            </w:r>
          </w:p>
        </w:tc>
        <w:tc>
          <w:tcPr>
            <w:tcW w:w="4261" w:type="dxa"/>
          </w:tcPr>
          <w:p w14:paraId="4E613AB9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Newest</w:t>
            </w:r>
          </w:p>
        </w:tc>
      </w:tr>
      <w:tr w14:paraId="6BA9C419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261" w:type="dxa"/>
          </w:tcPr>
          <w:p w14:paraId="555EBE02">
            <w:pPr>
              <w:widowControl w:val="0"/>
              <w:jc w:val="both"/>
              <w:rPr>
                <w:rFonts w:hint="default"/>
                <w:vertAlign w:val="baseline"/>
              </w:rPr>
            </w:pPr>
            <w:r>
              <w:rPr>
                <w:rFonts w:hint="default"/>
                <w:vertAlign w:val="baseline"/>
              </w:rPr>
              <w:t>The government is expected to issue the latest reading of the consumer price index, showing a yearly increase of 3.1% in June.</w:t>
            </w:r>
          </w:p>
          <w:p w14:paraId="20AF2F7E">
            <w:pPr>
              <w:widowControl w:val="0"/>
              <w:jc w:val="both"/>
              <w:rPr>
                <w:rFonts w:hint="default"/>
                <w:vertAlign w:val="baseline"/>
              </w:rPr>
            </w:pPr>
            <w:r>
              <w:rPr>
                <w:rFonts w:hint="default"/>
                <w:vertAlign w:val="baseline"/>
              </w:rPr>
              <w:t>Calls for the Fed to cut its benchmark rate have intensified due to cooling inflation and a slowing economy.</w:t>
            </w:r>
          </w:p>
          <w:p w14:paraId="4C75556D">
            <w:pPr>
              <w:widowControl w:val="0"/>
              <w:jc w:val="both"/>
              <w:rPr>
                <w:rFonts w:hint="default"/>
                <w:vertAlign w:val="baseline"/>
              </w:rPr>
            </w:pPr>
            <w:r>
              <w:rPr>
                <w:rFonts w:hint="default"/>
                <w:vertAlign w:val="baseline"/>
              </w:rPr>
              <w:t>A mysterious monolith near Las Vegas was taken down by authorities to prevent safety risks to tourists.</w:t>
            </w:r>
          </w:p>
          <w:p w14:paraId="0CE6A79F">
            <w:pPr>
              <w:widowControl w:val="0"/>
              <w:jc w:val="both"/>
              <w:rPr>
                <w:rFonts w:hint="default"/>
                <w:vertAlign w:val="baseline"/>
              </w:rPr>
            </w:pPr>
            <w:r>
              <w:rPr>
                <w:rFonts w:hint="default"/>
                <w:vertAlign w:val="baseline"/>
              </w:rPr>
              <w:t>Pew research shows that TikTok users in the US are not primarily using the platform for political content.</w:t>
            </w:r>
          </w:p>
          <w:p w14:paraId="7AC725D9">
            <w:pPr>
              <w:widowControl w:val="0"/>
              <w:jc w:val="both"/>
              <w:rPr>
                <w:rFonts w:hint="default"/>
                <w:vertAlign w:val="baseline"/>
              </w:rPr>
            </w:pPr>
            <w:r>
              <w:rPr>
                <w:rFonts w:hint="default"/>
                <w:vertAlign w:val="baseline"/>
              </w:rPr>
              <w:t>A NATO summit is set to appoint a representative in Kyiv to deepen Ukraine ties.</w:t>
            </w:r>
          </w:p>
          <w:p w14:paraId="0F734493">
            <w:pPr>
              <w:widowControl w:val="0"/>
              <w:jc w:val="both"/>
              <w:rPr>
                <w:rFonts w:hint="default"/>
                <w:vertAlign w:val="baseline"/>
              </w:rPr>
            </w:pPr>
            <w:r>
              <w:rPr>
                <w:rFonts w:hint="default"/>
                <w:vertAlign w:val="baseline"/>
              </w:rPr>
              <w:t>A report by the CBO indicates a worsening outlook for America's national debt challenge.</w:t>
            </w:r>
          </w:p>
          <w:p w14:paraId="4F180FEB">
            <w:pPr>
              <w:widowControl w:val="0"/>
              <w:jc w:val="both"/>
              <w:rPr>
                <w:rFonts w:hint="default"/>
                <w:vertAlign w:val="baseline"/>
              </w:rPr>
            </w:pPr>
            <w:r>
              <w:rPr>
                <w:rFonts w:hint="default"/>
                <w:vertAlign w:val="baseline"/>
              </w:rPr>
              <w:t>Immigration is projected to lower deficits by $0.9 trillion over the 2024 to 2034 period.</w:t>
            </w:r>
          </w:p>
          <w:p w14:paraId="3D657C8D">
            <w:pPr>
              <w:widowControl w:val="0"/>
              <w:jc w:val="both"/>
              <w:rPr>
                <w:rFonts w:hint="default"/>
                <w:vertAlign w:val="baseline"/>
              </w:rPr>
            </w:pPr>
            <w:r>
              <w:rPr>
                <w:rFonts w:hint="default"/>
                <w:vertAlign w:val="baseline"/>
              </w:rPr>
              <w:t>The G7 summit is overshadowed by political vulnerabilities of its members, raising questions about its effectiveness.</w:t>
            </w:r>
          </w:p>
          <w:p w14:paraId="79E5E1EF">
            <w:pPr>
              <w:widowControl w:val="0"/>
              <w:jc w:val="both"/>
              <w:rPr>
                <w:rFonts w:hint="default"/>
                <w:vertAlign w:val="baseline"/>
              </w:rPr>
            </w:pPr>
            <w:r>
              <w:rPr>
                <w:rFonts w:hint="default"/>
                <w:vertAlign w:val="baseline"/>
              </w:rPr>
              <w:t>Recent market gains have been broad, with analysts revising year-end targets for the S&amp;P 500 higher.</w:t>
            </w:r>
          </w:p>
          <w:p w14:paraId="41C1AD67">
            <w:pPr>
              <w:widowControl w:val="0"/>
              <w:jc w:val="both"/>
              <w:rPr>
                <w:rFonts w:hint="default"/>
                <w:vertAlign w:val="baseline"/>
              </w:rPr>
            </w:pPr>
            <w:r>
              <w:rPr>
                <w:rFonts w:hint="default"/>
                <w:vertAlign w:val="baseline"/>
              </w:rPr>
              <w:t>Market volatility is expected to increase in October due to the upcoming election year.</w:t>
            </w:r>
          </w:p>
          <w:p w14:paraId="611D509C">
            <w:pPr>
              <w:widowControl w:val="0"/>
              <w:jc w:val="both"/>
              <w:rPr>
                <w:rFonts w:hint="default"/>
                <w:vertAlign w:val="baseline"/>
              </w:rPr>
            </w:pPr>
          </w:p>
          <w:p w14:paraId="36792B0D">
            <w:pPr>
              <w:widowControl w:val="0"/>
              <w:jc w:val="both"/>
              <w:rPr>
                <w:rFonts w:hint="default"/>
                <w:vertAlign w:val="baseline"/>
              </w:rPr>
            </w:pPr>
          </w:p>
          <w:p w14:paraId="488D7DC8">
            <w:pPr>
              <w:widowControl w:val="0"/>
              <w:jc w:val="both"/>
              <w:rPr>
                <w:rFonts w:hint="default"/>
                <w:vertAlign w:val="baseline"/>
              </w:rPr>
            </w:pPr>
          </w:p>
          <w:p w14:paraId="098D2735">
            <w:pPr>
              <w:widowControl w:val="0"/>
              <w:jc w:val="both"/>
              <w:rPr>
                <w:rFonts w:hint="default"/>
                <w:vertAlign w:val="baseline"/>
              </w:rPr>
            </w:pPr>
          </w:p>
          <w:p w14:paraId="58A389B1">
            <w:pPr>
              <w:widowControl w:val="0"/>
              <w:jc w:val="both"/>
              <w:rPr>
                <w:rFonts w:hint="default"/>
                <w:vertAlign w:val="baseline"/>
              </w:rPr>
            </w:pPr>
          </w:p>
          <w:p w14:paraId="5D60427F">
            <w:pPr>
              <w:widowControl w:val="0"/>
              <w:jc w:val="both"/>
              <w:rPr>
                <w:rFonts w:hint="default"/>
                <w:vertAlign w:val="baseline"/>
              </w:rPr>
            </w:pPr>
          </w:p>
          <w:p w14:paraId="2390E3A5">
            <w:pPr>
              <w:widowControl w:val="0"/>
              <w:jc w:val="both"/>
              <w:rPr>
                <w:rFonts w:hint="default"/>
                <w:vertAlign w:val="baseline"/>
              </w:rPr>
            </w:pPr>
          </w:p>
          <w:p w14:paraId="61A8DE23">
            <w:pPr>
              <w:widowControl w:val="0"/>
              <w:jc w:val="both"/>
              <w:rPr>
                <w:rFonts w:hint="default"/>
                <w:vertAlign w:val="baseline"/>
              </w:rPr>
            </w:pPr>
          </w:p>
          <w:p w14:paraId="2F5BC130">
            <w:pPr>
              <w:widowControl w:val="0"/>
              <w:jc w:val="both"/>
              <w:rPr>
                <w:rFonts w:hint="default"/>
                <w:vertAlign w:val="baseline"/>
              </w:rPr>
            </w:pPr>
          </w:p>
          <w:p w14:paraId="4574EAF3">
            <w:pPr>
              <w:widowControl w:val="0"/>
              <w:jc w:val="both"/>
              <w:rPr>
                <w:rFonts w:hint="default"/>
                <w:vertAlign w:val="baseline"/>
              </w:rPr>
            </w:pPr>
          </w:p>
          <w:p w14:paraId="5D0223FE">
            <w:pPr>
              <w:widowControl w:val="0"/>
              <w:jc w:val="both"/>
              <w:rPr>
                <w:rFonts w:hint="default"/>
                <w:vertAlign w:val="baseline"/>
              </w:rPr>
            </w:pPr>
          </w:p>
        </w:tc>
        <w:tc>
          <w:tcPr>
            <w:tcW w:w="4261" w:type="dxa"/>
          </w:tcPr>
          <w:p w14:paraId="6427C528">
            <w:pPr>
              <w:widowControl w:val="0"/>
              <w:jc w:val="both"/>
              <w:rPr>
                <w:vertAlign w:val="baseline"/>
              </w:rPr>
            </w:pPr>
            <w:r>
              <w:rPr>
                <w:vertAlign w:val="baseline"/>
              </w:rPr>
              <w:t>The June jobs report showed more modest job gains than expected, with employers adding 190,000 jobs and the unemployment rate remaining at 4%.</w:t>
            </w:r>
          </w:p>
          <w:p w14:paraId="5E68D39F">
            <w:pPr>
              <w:widowControl w:val="0"/>
              <w:jc w:val="both"/>
              <w:rPr>
                <w:vertAlign w:val="baseline"/>
              </w:rPr>
            </w:pPr>
            <w:r>
              <w:rPr>
                <w:rFonts w:hint="default"/>
                <w:vertAlign w:val="baseline"/>
              </w:rPr>
              <w:t>Key points from the report include government and healthcare sectors leading in job gains, with the public sector adding 70,000 jobs and the healthcare industry adding 48,600 positions.</w:t>
            </w:r>
          </w:p>
          <w:p w14:paraId="1E3A8B7A">
            <w:pPr>
              <w:widowControl w:val="0"/>
              <w:jc w:val="both"/>
              <w:rPr>
                <w:vertAlign w:val="baseline"/>
              </w:rPr>
            </w:pPr>
            <w:r>
              <w:rPr>
                <w:rFonts w:hint="default"/>
                <w:vertAlign w:val="baseline"/>
              </w:rPr>
              <w:t>The report also highlighted a steady slowdown in the labor market, indicating a strong but gradually ebbing labor market.</w:t>
            </w:r>
          </w:p>
          <w:p w14:paraId="6BA00F6A">
            <w:pPr>
              <w:widowControl w:val="0"/>
              <w:jc w:val="both"/>
              <w:rPr>
                <w:vertAlign w:val="baseline"/>
              </w:rPr>
            </w:pPr>
            <w:r>
              <w:rPr>
                <w:rFonts w:hint="default"/>
                <w:vertAlign w:val="baseline"/>
              </w:rPr>
              <w:t>Calls for the Federal Reserve to cut its benchmark rate intensified due to signs of cooling inflation and a slowing economy.</w:t>
            </w:r>
          </w:p>
          <w:p w14:paraId="12FEDEE3">
            <w:pPr>
              <w:widowControl w:val="0"/>
              <w:jc w:val="both"/>
              <w:rPr>
                <w:vertAlign w:val="baseline"/>
              </w:rPr>
            </w:pPr>
            <w:r>
              <w:rPr>
                <w:rFonts w:hint="default"/>
                <w:vertAlign w:val="baseline"/>
              </w:rPr>
              <w:t>The Democratic National Committee discussed fundraising numbers and grassroots campaign efforts, with the Biden campaign raising $27 million following the debate.</w:t>
            </w:r>
          </w:p>
          <w:p w14:paraId="58DBB699">
            <w:pPr>
              <w:widowControl w:val="0"/>
              <w:jc w:val="both"/>
              <w:rPr>
                <w:vertAlign w:val="baseline"/>
              </w:rPr>
            </w:pPr>
            <w:r>
              <w:rPr>
                <w:rFonts w:hint="default"/>
                <w:vertAlign w:val="baseline"/>
              </w:rPr>
              <w:t>There were concerns about Biden's debate performance, with some Democrats expressing disappointment and urging cognitive and movement disorder testing for the president.</w:t>
            </w:r>
          </w:p>
          <w:p w14:paraId="6FFB2B76">
            <w:pPr>
              <w:widowControl w:val="0"/>
              <w:jc w:val="both"/>
              <w:rPr>
                <w:vertAlign w:val="baseline"/>
              </w:rPr>
            </w:pPr>
            <w:r>
              <w:rPr>
                <w:rFonts w:hint="default"/>
                <w:vertAlign w:val="baseline"/>
              </w:rPr>
              <w:t>The political press covered the debate aftermath, focusing on stories and narratives that emerged from the event.</w:t>
            </w:r>
          </w:p>
          <w:p w14:paraId="0BEC5EAB">
            <w:pPr>
              <w:widowControl w:val="0"/>
              <w:jc w:val="both"/>
              <w:rPr>
                <w:vertAlign w:val="baseline"/>
              </w:rPr>
            </w:pPr>
            <w:r>
              <w:rPr>
                <w:rFonts w:hint="default"/>
                <w:vertAlign w:val="baseline"/>
              </w:rPr>
              <w:t>The vetting system for intelligence collection and screening noncitizens seeking admission into the US was highlighted as lacking necessary information and facing system problems.</w:t>
            </w:r>
          </w:p>
          <w:p w14:paraId="4A0BEF88">
            <w:pPr>
              <w:widowControl w:val="0"/>
              <w:jc w:val="both"/>
              <w:rPr>
                <w:vertAlign w:val="baseline"/>
              </w:rPr>
            </w:pPr>
            <w:bookmarkStart w:id="0" w:name="_GoBack"/>
            <w:bookmarkEnd w:id="0"/>
          </w:p>
        </w:tc>
      </w:tr>
      <w:tr w14:paraId="0317932E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261" w:type="dxa"/>
          </w:tcPr>
          <w:p w14:paraId="554D05A7">
            <w:pPr>
              <w:rPr>
                <w:rFonts w:hint="default"/>
                <w:vertAlign w:val="baseline"/>
              </w:rPr>
            </w:pPr>
          </w:p>
          <w:p w14:paraId="5611962D">
            <w:pPr>
              <w:widowControl w:val="0"/>
              <w:jc w:val="both"/>
              <w:rPr>
                <w:rFonts w:hint="default"/>
                <w:vertAlign w:val="baseline"/>
              </w:rPr>
            </w:pPr>
            <w:r>
              <w:rPr>
                <w:rFonts w:hint="default"/>
                <w:vertAlign w:val="baseline"/>
              </w:rPr>
              <w:t>The timestamps range in the articles provided is from June 12, 2024, to June 24, 2024.</w:t>
            </w:r>
          </w:p>
          <w:p w14:paraId="7180283D">
            <w:pPr>
              <w:widowControl w:val="0"/>
              <w:jc w:val="both"/>
              <w:rPr>
                <w:rFonts w:hint="default"/>
                <w:vertAlign w:val="baseline"/>
              </w:rPr>
            </w:pPr>
          </w:p>
        </w:tc>
        <w:tc>
          <w:tcPr>
            <w:tcW w:w="4261" w:type="dxa"/>
          </w:tcPr>
          <w:p w14:paraId="74BE8382">
            <w:pPr>
              <w:widowControl w:val="0"/>
              <w:jc w:val="both"/>
              <w:rPr>
                <w:vertAlign w:val="baseline"/>
              </w:rPr>
            </w:pPr>
          </w:p>
          <w:p w14:paraId="16118A76">
            <w:pPr>
              <w:widowControl w:val="0"/>
              <w:jc w:val="both"/>
              <w:rPr>
                <w:vertAlign w:val="baseline"/>
              </w:rPr>
            </w:pPr>
            <w:r>
              <w:rPr>
                <w:rFonts w:hint="default"/>
                <w:vertAlign w:val="baseline"/>
              </w:rPr>
              <w:t>The timestamps range in the articles provided is as follows:</w:t>
            </w:r>
          </w:p>
          <w:p w14:paraId="1DA264B7">
            <w:pPr>
              <w:widowControl w:val="0"/>
              <w:jc w:val="both"/>
              <w:rPr>
                <w:vertAlign w:val="baseline"/>
              </w:rPr>
            </w:pPr>
            <w:r>
              <w:rPr>
                <w:rFonts w:hint="default"/>
                <w:vertAlign w:val="baseline"/>
              </w:rPr>
              <w:t>July 2, 2024 to July 13, 2024</w:t>
            </w:r>
          </w:p>
          <w:p w14:paraId="4DDE4F3E">
            <w:pPr>
              <w:widowControl w:val="0"/>
              <w:jc w:val="both"/>
              <w:rPr>
                <w:vertAlign w:val="baseline"/>
              </w:rPr>
            </w:pPr>
          </w:p>
        </w:tc>
      </w:tr>
      <w:tr w14:paraId="2D0FA807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261" w:type="dxa"/>
          </w:tcPr>
          <w:p w14:paraId="3C3F337E">
            <w:pPr>
              <w:widowControl w:val="0"/>
              <w:jc w:val="both"/>
              <w:rPr>
                <w:rFonts w:hint="default"/>
                <w:vertAlign w:val="baseline"/>
              </w:rPr>
            </w:pPr>
          </w:p>
        </w:tc>
        <w:tc>
          <w:tcPr>
            <w:tcW w:w="4261" w:type="dxa"/>
          </w:tcPr>
          <w:p w14:paraId="6CE5A6B2">
            <w:pPr>
              <w:widowControl w:val="0"/>
              <w:jc w:val="both"/>
              <w:rPr>
                <w:vertAlign w:val="baseline"/>
              </w:rPr>
            </w:pPr>
          </w:p>
        </w:tc>
      </w:tr>
    </w:tbl>
    <w:p w14:paraId="5077BCFD"/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SimHei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DengXian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Symbol">
    <w:panose1 w:val="05050102010706020507"/>
    <w:charset w:val="00"/>
    <w:family w:val="auto"/>
    <w:pitch w:val="default"/>
    <w:sig w:usb0="00000000" w:usb1="00000000" w:usb2="00000000" w:usb3="00000000" w:csb0="80000000" w:csb1="00000000"/>
  </w:font>
  <w:font w:name="sans-serif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45"/>
  <w:embedSystemFonts/>
  <w:bordersDoNotSurroundHeader w:val="0"/>
  <w:bordersDoNotSurroundFooter w:val="0"/>
  <w:documentProtection w:enforcement="0"/>
  <w:defaultTabStop w:val="720"/>
  <w:drawingGridVerticalSpacing w:val="156"/>
  <w:displayHorizontalDrawingGridEvery w:val="1"/>
  <w:displayVerticalDrawingGridEvery w:val="1"/>
  <w:noPunctuationKerning w:val="1"/>
  <w:characterSpacingControl w:val="doNotCompress"/>
  <w:compat>
    <w:spaceForUL/>
    <w:doNotLeaveBackslashAlone/>
    <w:ulTrailSpace/>
    <w:doNotExpandShiftReturn/>
    <w:adjustLineHeightInTable/>
    <w:doNotWrapTextWithPunct/>
    <w:doNotUseEastAsianBreakRules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BC141B3"/>
    <w:rsid w:val="20452792"/>
    <w:rsid w:val="73786F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qFormat/>
    <w:uiPriority w:val="0"/>
  </w:style>
  <w:style w:type="table" w:default="1" w:styleId="3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Normal (Web)"/>
    <w:uiPriority w:val="0"/>
    <w:pPr>
      <w:spacing w:before="0" w:beforeAutospacing="1" w:after="0" w:afterAutospacing="1"/>
      <w:ind w:left="0" w:right="0"/>
      <w:jc w:val="left"/>
    </w:pPr>
    <w:rPr>
      <w:kern w:val="0"/>
      <w:sz w:val="24"/>
      <w:szCs w:val="24"/>
      <w:lang w:val="en-US" w:eastAsia="zh-CN" w:bidi="ar"/>
    </w:rPr>
  </w:style>
  <w:style w:type="character" w:styleId="5">
    <w:name w:val="Strong"/>
    <w:basedOn w:val="2"/>
    <w:qFormat/>
    <w:uiPriority w:val="0"/>
    <w:rPr>
      <w:b/>
      <w:bCs/>
    </w:rPr>
  </w:style>
  <w:style w:type="table" w:styleId="6">
    <w:name w:val="Table Grid"/>
    <w:basedOn w:val="3"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37</TotalTime>
  <ScaleCrop>false</ScaleCrop>
  <LinksUpToDate>false</LinksUpToDate>
  <CharactersWithSpaces>0</CharactersWithSpaces>
  <Application>WPS Office_12.2.0.17153_F1E327BC-269C-435d-A152-05C5408002CA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2024-07-15T09:24:00Z</dcterms:created>
  <dc:creator>WPS_1663957037</dc:creator>
  <cp:lastModifiedBy>WPS_1663957037</cp:lastModifiedBy>
  <dcterms:modified xsi:type="dcterms:W3CDTF">2024-07-16T07:37:33Z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1033-12.2.0.17153</vt:lpwstr>
  </property>
  <property fmtid="{D5CDD505-2E9C-101B-9397-08002B2CF9AE}" pid="3" name="ICV">
    <vt:lpwstr>D21A08BBB7F54FDCB1667D5C1A739DA4_13</vt:lpwstr>
  </property>
</Properties>
</file>