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40"/>
          <w:szCs w:val="40"/>
          <w:u w:val="single"/>
          <w:rtl w:val="0"/>
        </w:rPr>
        <w:t xml:space="preserve">Ngunnawal Cultural Research</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Joshua O’Regan</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30"/>
          <w:szCs w:val="30"/>
          <w:u w:val="single"/>
          <w:rtl w:val="0"/>
        </w:rPr>
        <w:t xml:space="preserve">Population Data of The Ngunnawal Region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population of Canberra today, the primary territory in the Ngunnawal region is approximately 462,000, representing a rough 1% annual growth of the population from previous years.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In contrast to the Ngunnawal people, the traditional custodians of the land we live on today only saw a populous ranging between 1,000 and 2,000 people. This represents a 462-231% increase in population between the traditional aboriginal peoples and today's Ngunnawal country.</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30"/>
          <w:szCs w:val="30"/>
          <w:u w:val="single"/>
          <w:rtl w:val="0"/>
        </w:rPr>
        <w:t xml:space="preserve">Language Spoken</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Burragorang language is the native tongue of the Ngunnawal people, however, their dialect varies slightly to the Gundungurra peoples who speak the same language with a varied dialect.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Below is a table of keywords in the Ngunnawal dialect translated to English:</w:t>
      </w:r>
    </w:p>
    <w:p w:rsidR="00000000" w:rsidDel="00000000" w:rsidP="00000000" w:rsidRDefault="00000000" w:rsidRPr="00000000" w14:paraId="00000011">
      <w:pP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Ngunnawal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Bubal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Mullaŋan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Winyu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Kubbadaŋ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Clouds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Gurraŋ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Kagu</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30"/>
          <w:szCs w:val="30"/>
          <w:u w:val="single"/>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30"/>
          <w:szCs w:val="30"/>
          <w:u w:val="single"/>
        </w:rPr>
        <w:drawing>
          <wp:anchor allowOverlap="1" behindDoc="0" distB="114300" distT="114300" distL="114300" distR="114300" hidden="0" layoutInCell="1" locked="0" relativeHeight="0" simplePos="0">
            <wp:simplePos x="0" y="0"/>
            <wp:positionH relativeFrom="page">
              <wp:posOffset>4026225</wp:posOffset>
            </wp:positionH>
            <wp:positionV relativeFrom="page">
              <wp:posOffset>7907666</wp:posOffset>
            </wp:positionV>
            <wp:extent cx="2621188" cy="22697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1188" cy="2269797"/>
                    </a:xfrm>
                    <a:prstGeom prst="rect"/>
                    <a:ln/>
                  </pic:spPr>
                </pic:pic>
              </a:graphicData>
            </a:graphic>
          </wp:anchor>
        </w:drawing>
      </w:r>
      <w:r w:rsidDel="00000000" w:rsidR="00000000" w:rsidRPr="00000000">
        <w:rPr>
          <w:b w:val="1"/>
          <w:sz w:val="30"/>
          <w:szCs w:val="30"/>
          <w:u w:val="single"/>
          <w:rtl w:val="0"/>
        </w:rPr>
        <w:t xml:space="preserve">Ngunnawal Location</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 Ngunnawal Territory is a triangular region encompassing Canberra and bordering on Young, Cootamundra and Tumut and neighbouring Goulburn to the north.</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30"/>
          <w:szCs w:val="30"/>
          <w:u w:val="single"/>
        </w:rPr>
      </w:pPr>
      <w:r w:rsidDel="00000000" w:rsidR="00000000" w:rsidRPr="00000000">
        <w:rPr>
          <w:rtl w:val="0"/>
        </w:rPr>
      </w:r>
    </w:p>
    <w:p w:rsidR="00000000" w:rsidDel="00000000" w:rsidP="00000000" w:rsidRDefault="00000000" w:rsidRPr="00000000" w14:paraId="0000002A">
      <w:pPr>
        <w:rPr>
          <w:b w:val="1"/>
          <w:sz w:val="30"/>
          <w:szCs w:val="30"/>
          <w:u w:val="single"/>
        </w:rPr>
      </w:pPr>
      <w:r w:rsidDel="00000000" w:rsidR="00000000" w:rsidRPr="00000000">
        <w:rPr>
          <w:rtl w:val="0"/>
        </w:rPr>
      </w:r>
    </w:p>
    <w:p w:rsidR="00000000" w:rsidDel="00000000" w:rsidP="00000000" w:rsidRDefault="00000000" w:rsidRPr="00000000" w14:paraId="0000002B">
      <w:pPr>
        <w:rPr>
          <w:b w:val="1"/>
          <w:sz w:val="30"/>
          <w:szCs w:val="30"/>
          <w:u w:val="single"/>
        </w:rPr>
      </w:pPr>
      <w:r w:rsidDel="00000000" w:rsidR="00000000" w:rsidRPr="00000000">
        <w:rPr>
          <w:rtl w:val="0"/>
        </w:rPr>
      </w:r>
    </w:p>
    <w:p w:rsidR="00000000" w:rsidDel="00000000" w:rsidP="00000000" w:rsidRDefault="00000000" w:rsidRPr="00000000" w14:paraId="0000002C">
      <w:pPr>
        <w:rPr>
          <w:b w:val="1"/>
          <w:sz w:val="30"/>
          <w:szCs w:val="30"/>
          <w:u w:val="single"/>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30"/>
          <w:szCs w:val="30"/>
          <w:u w:val="single"/>
          <w:rtl w:val="0"/>
        </w:rPr>
        <w:t xml:space="preserve">Historical Environment</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highlight w:val="red"/>
        </w:rPr>
      </w:pPr>
      <w:r w:rsidDel="00000000" w:rsidR="00000000" w:rsidRPr="00000000">
        <w:rPr>
          <w:sz w:val="20"/>
          <w:szCs w:val="20"/>
          <w:rtl w:val="0"/>
        </w:rPr>
        <w:t xml:space="preserve">It is said that the Ngunnawal region was particularly taxing on the aboriginal peoples due to the harsh climate; Hot summers, cold winters. Survival required great knowledge of the region due to the mountainous terrain, calling for cooperation from the group in order to survive the unique environment the Ngunnawal region presented before them. With this being said, the mountainous region that the Ngunnawal people inhabited was home to a variety of flora and fauna that the aboriginal people utilized for survival, everything from building materials to medicine was provided by the land.</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30"/>
          <w:szCs w:val="30"/>
          <w:u w:val="single"/>
          <w:rtl w:val="0"/>
        </w:rPr>
        <w:t xml:space="preserve">Current Environment</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Canberra today is an interesting mix of industrial, residential, bush and city whilst avoiding overcrowding like much of Australia's other big cities. The annual rainfall peaks in April averaging 63.7 mm of rain and is at its lowest in June with an average of 32.5 mm. The average temperatures peak towards the end/beginning of the year particularly in January (average high 29</w:t>
      </w:r>
      <w:r w:rsidDel="00000000" w:rsidR="00000000" w:rsidRPr="00000000">
        <w:rPr>
          <w:color w:val="202124"/>
          <w:sz w:val="20"/>
          <w:szCs w:val="20"/>
          <w:highlight w:val="white"/>
          <w:rtl w:val="0"/>
        </w:rPr>
        <w:t xml:space="preserve">°C, Low 14°C</w:t>
      </w:r>
      <w:r w:rsidDel="00000000" w:rsidR="00000000" w:rsidRPr="00000000">
        <w:rPr>
          <w:sz w:val="20"/>
          <w:szCs w:val="20"/>
          <w:rtl w:val="0"/>
        </w:rPr>
        <w:t xml:space="preserve">) and it’s the lowest temperature being in July (average high 11</w:t>
      </w:r>
      <w:r w:rsidDel="00000000" w:rsidR="00000000" w:rsidRPr="00000000">
        <w:rPr>
          <w:color w:val="202124"/>
          <w:sz w:val="20"/>
          <w:szCs w:val="20"/>
          <w:highlight w:val="white"/>
          <w:rtl w:val="0"/>
        </w:rPr>
        <w:t xml:space="preserve">°C, Low 0°C</w:t>
      </w:r>
      <w:r w:rsidDel="00000000" w:rsidR="00000000" w:rsidRPr="00000000">
        <w:rPr>
          <w:sz w:val="20"/>
          <w:szCs w:val="20"/>
          <w:rtl w:val="0"/>
        </w:rPr>
        <w:t xml:space="preserve">) however it is not all that uncommon for temperatures to reach upward of 40</w:t>
      </w:r>
      <w:r w:rsidDel="00000000" w:rsidR="00000000" w:rsidRPr="00000000">
        <w:rPr>
          <w:color w:val="202124"/>
          <w:sz w:val="20"/>
          <w:szCs w:val="20"/>
          <w:highlight w:val="white"/>
          <w:rtl w:val="0"/>
        </w:rPr>
        <w:t xml:space="preserve">°C, and as low as -5°C. The bush surrounding Canberra is quite dense which in combination with the rocky terrain makes it difficult to traverse, if the terrain now is in anyway resemblant to the land the Ngunnawal people once walked on, it is understandable as to why it was vital for the Ngunnawal people to have a deep understanding of their environment in order to make a living.  </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b w:val="1"/>
          <w:sz w:val="30"/>
          <w:szCs w:val="30"/>
          <w:u w:val="single"/>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b w:val="1"/>
          <w:sz w:val="30"/>
          <w:szCs w:val="30"/>
          <w:u w:val="single"/>
          <w:rtl w:val="0"/>
        </w:rPr>
        <w:t xml:space="preserve">Traditional Medicines</w:t>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As the Ngunnawal people lacked the technology available to us today and the subsequent breakthroughs in the medicinal field, they were entirely dependent on the environment for their survival, a big part of which is being able to treat ailments and injuries. People of the Ngunnawal clan were quite fortunate in this area however as the mountainous terrain of Ngunnawal harboured many natural remedies, below is a table of traditional aboriginal medicines and their uses: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(Cauliflower Plant/Bush) Cassinina longifolia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leaves are used as plasters (band-aids) to seal cuts, preventing infection and healing the wound.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(False Sarsaparilla) Hardenbergia violacea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flowers were crushed, turned into a mouthwash and gargled in order to treat ulcers as well as utilized to treat chest infections.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(Apple Box) Eucalyptus bridgesiana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leaves were infused in water and then the vapours would be inhaled to aid with colds.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(Soap Bush (Blackwood)) Acacia melanoxylon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leaves were crushed and mixed with water to make an antibacterial soap.</w:t>
            </w:r>
          </w:p>
        </w:tc>
      </w:tr>
    </w:tbl>
    <w:p w:rsidR="00000000" w:rsidDel="00000000" w:rsidP="00000000" w:rsidRDefault="00000000" w:rsidRPr="00000000" w14:paraId="00000046">
      <w:pPr>
        <w:rPr>
          <w:b w:val="1"/>
          <w:sz w:val="30"/>
          <w:szCs w:val="30"/>
          <w:u w:val="singl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b w:val="1"/>
          <w:sz w:val="30"/>
          <w:szCs w:val="30"/>
          <w:u w:val="single"/>
          <w:rtl w:val="0"/>
        </w:rPr>
        <w:t xml:space="preserve">Traditional Bush Tucker</w:t>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Just as important as the medicine was the fuel required to keep them going. The Ngunnawal territory is plentiful in animals and plants that the traditional Ngunnawal peoples utilized in order to ensure that they did not go hungry and could function throughout the day. Below is a Table of traditional Ngunnawal bush tucker and how it was prepared.</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(Kangaroo Apple) Solanum linearifolium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berries are picked and eaten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(Malaburk) Banksia marginata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flowers are soaked in water to give a natural energy drink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(Kurrajong) Brachychiton populners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seeds are cooked yielding food similar to popcorn.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(Bullrush/Bush Rice) Scirpus spp.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seeds are taken and cooked like rice while the fruit is harvested once it has turned a red/orange, this typically takes place towards the end of the year (November/December).</w:t>
            </w:r>
          </w:p>
        </w:tc>
      </w:tr>
    </w:tbl>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b w:val="1"/>
          <w:sz w:val="30"/>
          <w:szCs w:val="30"/>
          <w:u w:val="single"/>
          <w:rtl w:val="0"/>
        </w:rPr>
        <w:t xml:space="preserve">Conclusion</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The Ngunnawal people survived here for thousands of years, over time developing their language, skills and knowledge that were passed down from generation to generation. knowledge of the land and its environment, natural remedies for their ailments and injuries as well as bush tucker, what was and wasn’t safe to eat; these and more were vital skills not only to survive but also are of great cultural significance to the aboriginal people even today.</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30"/>
          <w:szCs w:val="30"/>
          <w:u w:val="single"/>
        </w:rPr>
      </w:pPr>
      <w:r w:rsidDel="00000000" w:rsidR="00000000" w:rsidRPr="00000000">
        <w:rPr>
          <w:rtl w:val="0"/>
        </w:rPr>
      </w:r>
    </w:p>
    <w:p w:rsidR="00000000" w:rsidDel="00000000" w:rsidP="00000000" w:rsidRDefault="00000000" w:rsidRPr="00000000" w14:paraId="0000005E">
      <w:pPr>
        <w:rPr>
          <w:b w:val="1"/>
          <w:sz w:val="30"/>
          <w:szCs w:val="30"/>
          <w:u w:val="single"/>
        </w:rPr>
      </w:pPr>
      <w:r w:rsidDel="00000000" w:rsidR="00000000" w:rsidRPr="00000000">
        <w:rPr>
          <w:rtl w:val="0"/>
        </w:rPr>
      </w:r>
    </w:p>
    <w:p w:rsidR="00000000" w:rsidDel="00000000" w:rsidP="00000000" w:rsidRDefault="00000000" w:rsidRPr="00000000" w14:paraId="0000005F">
      <w:pPr>
        <w:rPr>
          <w:b w:val="1"/>
          <w:sz w:val="30"/>
          <w:szCs w:val="30"/>
          <w:u w:val="single"/>
        </w:rPr>
      </w:pPr>
      <w:r w:rsidDel="00000000" w:rsidR="00000000" w:rsidRPr="00000000">
        <w:rPr>
          <w:rtl w:val="0"/>
        </w:rPr>
      </w:r>
    </w:p>
    <w:p w:rsidR="00000000" w:rsidDel="00000000" w:rsidP="00000000" w:rsidRDefault="00000000" w:rsidRPr="00000000" w14:paraId="00000060">
      <w:pPr>
        <w:rPr>
          <w:b w:val="1"/>
          <w:sz w:val="30"/>
          <w:szCs w:val="30"/>
          <w:u w:val="single"/>
        </w:rPr>
      </w:pPr>
      <w:r w:rsidDel="00000000" w:rsidR="00000000" w:rsidRPr="00000000">
        <w:rPr>
          <w:rtl w:val="0"/>
        </w:rPr>
      </w:r>
    </w:p>
    <w:p w:rsidR="00000000" w:rsidDel="00000000" w:rsidP="00000000" w:rsidRDefault="00000000" w:rsidRPr="00000000" w14:paraId="00000061">
      <w:pPr>
        <w:rPr>
          <w:b w:val="1"/>
          <w:sz w:val="30"/>
          <w:szCs w:val="30"/>
          <w:u w:val="single"/>
        </w:rPr>
      </w:pPr>
      <w:r w:rsidDel="00000000" w:rsidR="00000000" w:rsidRPr="00000000">
        <w:rPr>
          <w:rtl w:val="0"/>
        </w:rPr>
      </w:r>
    </w:p>
    <w:p w:rsidR="00000000" w:rsidDel="00000000" w:rsidP="00000000" w:rsidRDefault="00000000" w:rsidRPr="00000000" w14:paraId="00000062">
      <w:pPr>
        <w:rPr>
          <w:b w:val="1"/>
          <w:sz w:val="30"/>
          <w:szCs w:val="30"/>
          <w:u w:val="single"/>
        </w:rPr>
      </w:pPr>
      <w:r w:rsidDel="00000000" w:rsidR="00000000" w:rsidRPr="00000000">
        <w:rPr>
          <w:rtl w:val="0"/>
        </w:rPr>
      </w:r>
    </w:p>
    <w:p w:rsidR="00000000" w:rsidDel="00000000" w:rsidP="00000000" w:rsidRDefault="00000000" w:rsidRPr="00000000" w14:paraId="00000063">
      <w:pPr>
        <w:rPr>
          <w:b w:val="1"/>
          <w:sz w:val="30"/>
          <w:szCs w:val="30"/>
          <w:u w:val="single"/>
        </w:rPr>
      </w:pPr>
      <w:r w:rsidDel="00000000" w:rsidR="00000000" w:rsidRPr="00000000">
        <w:rPr>
          <w:rtl w:val="0"/>
        </w:rPr>
      </w:r>
    </w:p>
    <w:p w:rsidR="00000000" w:rsidDel="00000000" w:rsidP="00000000" w:rsidRDefault="00000000" w:rsidRPr="00000000" w14:paraId="00000064">
      <w:pPr>
        <w:rPr>
          <w:b w:val="1"/>
          <w:sz w:val="30"/>
          <w:szCs w:val="30"/>
          <w:u w:val="single"/>
        </w:rPr>
      </w:pPr>
      <w:r w:rsidDel="00000000" w:rsidR="00000000" w:rsidRPr="00000000">
        <w:rPr>
          <w:rtl w:val="0"/>
        </w:rPr>
      </w:r>
    </w:p>
    <w:p w:rsidR="00000000" w:rsidDel="00000000" w:rsidP="00000000" w:rsidRDefault="00000000" w:rsidRPr="00000000" w14:paraId="00000065">
      <w:pPr>
        <w:rPr>
          <w:b w:val="1"/>
          <w:sz w:val="30"/>
          <w:szCs w:val="30"/>
          <w:u w:val="single"/>
        </w:rPr>
      </w:pPr>
      <w:r w:rsidDel="00000000" w:rsidR="00000000" w:rsidRPr="00000000">
        <w:rPr>
          <w:rtl w:val="0"/>
        </w:rPr>
      </w:r>
    </w:p>
    <w:p w:rsidR="00000000" w:rsidDel="00000000" w:rsidP="00000000" w:rsidRDefault="00000000" w:rsidRPr="00000000" w14:paraId="00000066">
      <w:pPr>
        <w:rPr>
          <w:b w:val="1"/>
          <w:sz w:val="30"/>
          <w:szCs w:val="30"/>
          <w:u w:val="single"/>
        </w:rPr>
      </w:pPr>
      <w:r w:rsidDel="00000000" w:rsidR="00000000" w:rsidRPr="00000000">
        <w:rPr>
          <w:rtl w:val="0"/>
        </w:rPr>
      </w:r>
    </w:p>
    <w:p w:rsidR="00000000" w:rsidDel="00000000" w:rsidP="00000000" w:rsidRDefault="00000000" w:rsidRPr="00000000" w14:paraId="00000067">
      <w:pPr>
        <w:rPr>
          <w:b w:val="1"/>
          <w:sz w:val="30"/>
          <w:szCs w:val="30"/>
          <w:u w:val="single"/>
        </w:rPr>
      </w:pPr>
      <w:r w:rsidDel="00000000" w:rsidR="00000000" w:rsidRPr="00000000">
        <w:rPr>
          <w:rtl w:val="0"/>
        </w:rPr>
      </w:r>
    </w:p>
    <w:p w:rsidR="00000000" w:rsidDel="00000000" w:rsidP="00000000" w:rsidRDefault="00000000" w:rsidRPr="00000000" w14:paraId="00000068">
      <w:pPr>
        <w:rPr>
          <w:b w:val="1"/>
          <w:sz w:val="30"/>
          <w:szCs w:val="30"/>
          <w:u w:val="single"/>
        </w:rPr>
      </w:pPr>
      <w:r w:rsidDel="00000000" w:rsidR="00000000" w:rsidRPr="00000000">
        <w:rPr>
          <w:rtl w:val="0"/>
        </w:rPr>
      </w:r>
    </w:p>
    <w:p w:rsidR="00000000" w:rsidDel="00000000" w:rsidP="00000000" w:rsidRDefault="00000000" w:rsidRPr="00000000" w14:paraId="00000069">
      <w:pPr>
        <w:rPr>
          <w:b w:val="1"/>
          <w:sz w:val="30"/>
          <w:szCs w:val="30"/>
          <w:u w:val="single"/>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b w:val="1"/>
          <w:sz w:val="30"/>
          <w:szCs w:val="30"/>
          <w:u w:val="single"/>
          <w:rtl w:val="0"/>
        </w:rPr>
        <w:t xml:space="preserve">Reference List</w:t>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commentRangeStart w:id="0"/>
      <w:r w:rsidDel="00000000" w:rsidR="00000000" w:rsidRPr="00000000">
        <w:rPr>
          <w:color w:val="333333"/>
          <w:sz w:val="20"/>
          <w:szCs w:val="20"/>
          <w:highlight w:val="white"/>
          <w:rtl w:val="0"/>
        </w:rPr>
        <w:t xml:space="preserve">ACT Government. (2021 August 13). </w:t>
      </w:r>
      <w:r w:rsidDel="00000000" w:rsidR="00000000" w:rsidRPr="00000000">
        <w:rPr>
          <w:i w:val="1"/>
          <w:color w:val="333333"/>
          <w:sz w:val="20"/>
          <w:szCs w:val="20"/>
          <w:highlight w:val="white"/>
          <w:rtl w:val="0"/>
        </w:rPr>
        <w:t xml:space="preserve">Welcome to Ngunnawal Country</w:t>
      </w:r>
      <w:r w:rsidDel="00000000" w:rsidR="00000000" w:rsidRPr="00000000">
        <w:rPr>
          <w:color w:val="333333"/>
          <w:sz w:val="20"/>
          <w:szCs w:val="20"/>
          <w:highlight w:val="white"/>
          <w:rtl w:val="0"/>
        </w:rPr>
        <w:t xml:space="preserve">. Ngunnawal Country. </w:t>
      </w:r>
      <w:hyperlink r:id="rId8">
        <w:r w:rsidDel="00000000" w:rsidR="00000000" w:rsidRPr="00000000">
          <w:rPr>
            <w:color w:val="1155cc"/>
            <w:sz w:val="20"/>
            <w:szCs w:val="20"/>
            <w:highlight w:val="white"/>
            <w:u w:val="single"/>
            <w:rtl w:val="0"/>
          </w:rPr>
          <w:t xml:space="preserve">https://www.act.gov.au/ngunnawal-country</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color w:val="333333"/>
          <w:sz w:val="20"/>
          <w:szCs w:val="20"/>
          <w:highlight w:val="white"/>
          <w:rtl w:val="0"/>
        </w:rPr>
        <w:t xml:space="preserve">The Australian Institute of Aboriginal and Torres Strait Islander Studies. (2021 August 13). </w:t>
      </w:r>
      <w:r w:rsidDel="00000000" w:rsidR="00000000" w:rsidRPr="00000000">
        <w:rPr>
          <w:i w:val="1"/>
          <w:color w:val="333333"/>
          <w:sz w:val="20"/>
          <w:szCs w:val="20"/>
          <w:highlight w:val="white"/>
          <w:rtl w:val="0"/>
        </w:rPr>
        <w:t xml:space="preserve">Living Languages</w:t>
      </w:r>
      <w:r w:rsidDel="00000000" w:rsidR="00000000" w:rsidRPr="00000000">
        <w:rPr>
          <w:color w:val="333333"/>
          <w:sz w:val="20"/>
          <w:szCs w:val="20"/>
          <w:highlight w:val="white"/>
          <w:rtl w:val="0"/>
        </w:rPr>
        <w:t xml:space="preserve">. Living Languages. </w:t>
      </w:r>
      <w:hyperlink r:id="rId9">
        <w:r w:rsidDel="00000000" w:rsidR="00000000" w:rsidRPr="00000000">
          <w:rPr>
            <w:color w:val="1155cc"/>
            <w:sz w:val="20"/>
            <w:szCs w:val="20"/>
            <w:highlight w:val="white"/>
            <w:u w:val="single"/>
            <w:rtl w:val="0"/>
          </w:rPr>
          <w:t xml:space="preserve">https://aiatsis.gov.au/explore/living-languages</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color w:val="333333"/>
          <w:sz w:val="20"/>
          <w:szCs w:val="20"/>
          <w:highlight w:val="white"/>
          <w:rtl w:val="0"/>
        </w:rPr>
        <w:t xml:space="preserve">NSW Government. (n.d.). </w:t>
      </w:r>
      <w:r w:rsidDel="00000000" w:rsidR="00000000" w:rsidRPr="00000000">
        <w:rPr>
          <w:i w:val="1"/>
          <w:color w:val="333333"/>
          <w:sz w:val="20"/>
          <w:szCs w:val="20"/>
          <w:highlight w:val="white"/>
          <w:rtl w:val="0"/>
        </w:rPr>
        <w:t xml:space="preserve">Vines</w:t>
      </w:r>
      <w:r w:rsidDel="00000000" w:rsidR="00000000" w:rsidRPr="00000000">
        <w:rPr>
          <w:color w:val="333333"/>
          <w:sz w:val="20"/>
          <w:szCs w:val="20"/>
          <w:highlight w:val="white"/>
          <w:rtl w:val="0"/>
        </w:rPr>
        <w:t xml:space="preserve"> [PDF]. Vines, https://archive.lls.nsw.gov.au/__data/assets/pdf_file/0011/495749/archive-vines.pdf</w:t>
      </w: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color w:val="333333"/>
          <w:sz w:val="20"/>
          <w:szCs w:val="20"/>
          <w:highlight w:val="white"/>
          <w:rtl w:val="0"/>
        </w:rPr>
        <w:t xml:space="preserve">Merz, S.K. Sinclair Knight Merz. (1996). </w:t>
      </w:r>
      <w:r w:rsidDel="00000000" w:rsidR="00000000" w:rsidRPr="00000000">
        <w:rPr>
          <w:i w:val="1"/>
          <w:color w:val="333333"/>
          <w:sz w:val="20"/>
          <w:szCs w:val="20"/>
          <w:highlight w:val="white"/>
          <w:rtl w:val="0"/>
        </w:rPr>
        <w:t xml:space="preserve">Map of Indigenous Australia</w:t>
      </w:r>
      <w:r w:rsidDel="00000000" w:rsidR="00000000" w:rsidRPr="00000000">
        <w:rPr>
          <w:color w:val="333333"/>
          <w:sz w:val="20"/>
          <w:szCs w:val="20"/>
          <w:highlight w:val="white"/>
          <w:rtl w:val="0"/>
        </w:rPr>
        <w:t xml:space="preserve"> [Map]. Retrieved August 13, 2021, from </w:t>
      </w:r>
      <w:hyperlink r:id="rId10">
        <w:r w:rsidDel="00000000" w:rsidR="00000000" w:rsidRPr="00000000">
          <w:rPr>
            <w:color w:val="1155cc"/>
            <w:sz w:val="20"/>
            <w:szCs w:val="20"/>
            <w:highlight w:val="white"/>
            <w:u w:val="single"/>
            <w:rtl w:val="0"/>
          </w:rPr>
          <w:t xml:space="preserve">https://aiatsis.gov.au/explore/map-indigenous-australia</w:t>
        </w:r>
      </w:hyperlink>
      <w:r w:rsidDel="00000000" w:rsidR="00000000" w:rsidRPr="00000000">
        <w:rPr>
          <w:color w:val="333333"/>
          <w:sz w:val="20"/>
          <w:szCs w:val="20"/>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commentRangeStart w:id="1"/>
      <w:r w:rsidDel="00000000" w:rsidR="00000000" w:rsidRPr="00000000">
        <w:rPr>
          <w:color w:val="333333"/>
          <w:sz w:val="20"/>
          <w:szCs w:val="20"/>
          <w:highlight w:val="white"/>
          <w:rtl w:val="0"/>
        </w:rPr>
        <w:t xml:space="preserve">Macrotrends LLC. (2021 August 13). </w:t>
      </w:r>
      <w:r w:rsidDel="00000000" w:rsidR="00000000" w:rsidRPr="00000000">
        <w:rPr>
          <w:i w:val="1"/>
          <w:color w:val="333333"/>
          <w:sz w:val="20"/>
          <w:szCs w:val="20"/>
          <w:highlight w:val="white"/>
          <w:rtl w:val="0"/>
        </w:rPr>
        <w:t xml:space="preserve">Canberra, Australia Metro Area Population 1950-2021</w:t>
      </w:r>
      <w:r w:rsidDel="00000000" w:rsidR="00000000" w:rsidRPr="00000000">
        <w:rPr>
          <w:color w:val="333333"/>
          <w:sz w:val="20"/>
          <w:szCs w:val="20"/>
          <w:highlight w:val="white"/>
          <w:rtl w:val="0"/>
        </w:rPr>
        <w:t xml:space="preserve">. Population. </w:t>
      </w:r>
      <w:hyperlink r:id="rId11">
        <w:r w:rsidDel="00000000" w:rsidR="00000000" w:rsidRPr="00000000">
          <w:rPr>
            <w:color w:val="1155cc"/>
            <w:sz w:val="20"/>
            <w:szCs w:val="20"/>
            <w:highlight w:val="white"/>
            <w:u w:val="single"/>
            <w:rtl w:val="0"/>
          </w:rPr>
          <w:t xml:space="preserve">https://www.macrotrends.net/cities/206175/canberra/population</w:t>
        </w:r>
      </w:hyperlink>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color w:val="333333"/>
          <w:sz w:val="20"/>
          <w:szCs w:val="20"/>
          <w:highlight w:val="white"/>
          <w:rtl w:val="0"/>
        </w:rPr>
        <w:t xml:space="preserve">World Population Review. (2021 August 13). </w:t>
      </w:r>
      <w:r w:rsidDel="00000000" w:rsidR="00000000" w:rsidRPr="00000000">
        <w:rPr>
          <w:i w:val="1"/>
          <w:color w:val="333333"/>
          <w:sz w:val="20"/>
          <w:szCs w:val="20"/>
          <w:highlight w:val="white"/>
          <w:rtl w:val="0"/>
        </w:rPr>
        <w:t xml:space="preserve">Canberra Population 2021</w:t>
      </w:r>
      <w:r w:rsidDel="00000000" w:rsidR="00000000" w:rsidRPr="00000000">
        <w:rPr>
          <w:color w:val="333333"/>
          <w:sz w:val="20"/>
          <w:szCs w:val="20"/>
          <w:highlight w:val="white"/>
          <w:rtl w:val="0"/>
        </w:rPr>
        <w:t xml:space="preserve">. World Population Review. </w:t>
      </w:r>
      <w:hyperlink r:id="rId12">
        <w:r w:rsidDel="00000000" w:rsidR="00000000" w:rsidRPr="00000000">
          <w:rPr>
            <w:color w:val="1155cc"/>
            <w:sz w:val="20"/>
            <w:szCs w:val="20"/>
            <w:highlight w:val="white"/>
            <w:u w:val="single"/>
            <w:rtl w:val="0"/>
          </w:rPr>
          <w:t xml:space="preserve">https://worldpopulationreview.com/world-cities/canberra-population</w:t>
        </w:r>
      </w:hyperlink>
      <w:commentRangeEnd w:id="1"/>
      <w:r w:rsidDel="00000000" w:rsidR="00000000" w:rsidRPr="00000000">
        <w:commentReference w:id="1"/>
      </w: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commentRangeStart w:id="2"/>
      <w:r w:rsidDel="00000000" w:rsidR="00000000" w:rsidRPr="00000000">
        <w:rPr>
          <w:color w:val="333333"/>
          <w:sz w:val="20"/>
          <w:szCs w:val="20"/>
          <w:highlight w:val="white"/>
          <w:rtl w:val="0"/>
        </w:rPr>
        <w:t xml:space="preserve">Jones, A. Forkword Plosm. (2014 June 25). </w:t>
      </w:r>
      <w:r w:rsidDel="00000000" w:rsidR="00000000" w:rsidRPr="00000000">
        <w:rPr>
          <w:i w:val="1"/>
          <w:color w:val="333333"/>
          <w:sz w:val="20"/>
          <w:szCs w:val="20"/>
          <w:highlight w:val="white"/>
          <w:rtl w:val="0"/>
        </w:rPr>
        <w:t xml:space="preserve">Ngarigo and Ngunnawal word lists</w:t>
      </w:r>
      <w:r w:rsidDel="00000000" w:rsidR="00000000" w:rsidRPr="00000000">
        <w:rPr>
          <w:color w:val="333333"/>
          <w:sz w:val="20"/>
          <w:szCs w:val="20"/>
          <w:highlight w:val="white"/>
          <w:rtl w:val="0"/>
        </w:rPr>
        <w:t xml:space="preserve">. Forkword Plosm. </w:t>
      </w:r>
      <w:hyperlink r:id="rId13">
        <w:r w:rsidDel="00000000" w:rsidR="00000000" w:rsidRPr="00000000">
          <w:rPr>
            <w:color w:val="1155cc"/>
            <w:sz w:val="20"/>
            <w:szCs w:val="20"/>
            <w:highlight w:val="white"/>
            <w:u w:val="single"/>
            <w:rtl w:val="0"/>
          </w:rPr>
          <w:t xml:space="preserve">https://www.forkword.com/plog/?p=694</w:t>
        </w:r>
      </w:hyperlink>
      <w:commentRangeEnd w:id="2"/>
      <w:r w:rsidDel="00000000" w:rsidR="00000000" w:rsidRPr="00000000">
        <w:commentReference w:id="2"/>
      </w: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commentRangeStart w:id="3"/>
      <w:r w:rsidDel="00000000" w:rsidR="00000000" w:rsidRPr="00000000">
        <w:rPr>
          <w:color w:val="333333"/>
          <w:sz w:val="20"/>
          <w:szCs w:val="20"/>
          <w:highlight w:val="white"/>
          <w:rtl w:val="0"/>
        </w:rPr>
        <w:t xml:space="preserve">Smith, J. Australian National University. (2009). </w:t>
      </w:r>
      <w:r w:rsidDel="00000000" w:rsidR="00000000" w:rsidRPr="00000000">
        <w:rPr>
          <w:i w:val="1"/>
          <w:color w:val="333333"/>
          <w:sz w:val="20"/>
          <w:szCs w:val="20"/>
          <w:highlight w:val="white"/>
          <w:rtl w:val="0"/>
        </w:rPr>
        <w:t xml:space="preserve">Aboriginal Placenames</w:t>
      </w:r>
      <w:r w:rsidDel="00000000" w:rsidR="00000000" w:rsidRPr="00000000">
        <w:rPr>
          <w:color w:val="333333"/>
          <w:sz w:val="20"/>
          <w:szCs w:val="20"/>
          <w:highlight w:val="white"/>
          <w:rtl w:val="0"/>
        </w:rPr>
        <w:t xml:space="preserve">. ANU Press Library. </w:t>
      </w:r>
      <w:hyperlink r:id="rId14">
        <w:r w:rsidDel="00000000" w:rsidR="00000000" w:rsidRPr="00000000">
          <w:rPr>
            <w:color w:val="1155cc"/>
            <w:sz w:val="20"/>
            <w:szCs w:val="20"/>
            <w:highlight w:val="white"/>
            <w:u w:val="single"/>
            <w:rtl w:val="0"/>
          </w:rPr>
          <w:t xml:space="preserve">http://press-files.anu.edu.au/downloads/press/p17331/html/ch04.xhtml?referer&amp;page=12</w:t>
        </w:r>
      </w:hyperlink>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color w:val="333333"/>
          <w:sz w:val="20"/>
          <w:szCs w:val="20"/>
          <w:highlight w:val="white"/>
          <w:rtl w:val="0"/>
        </w:rPr>
        <w:t xml:space="preserve">Heaney, E. Australian National University. (2020). </w:t>
      </w:r>
      <w:r w:rsidDel="00000000" w:rsidR="00000000" w:rsidRPr="00000000">
        <w:rPr>
          <w:i w:val="1"/>
          <w:color w:val="333333"/>
          <w:sz w:val="20"/>
          <w:szCs w:val="20"/>
          <w:highlight w:val="white"/>
          <w:rtl w:val="0"/>
        </w:rPr>
        <w:t xml:space="preserve">KNOWLEDGE AND USE OF TRADITIONAL PLANTS BY NGUNNAWAL AND YUIN PEOPLE OF AUSTRALIA: BARRIERS TO KNOWLEDGE AND TRANSMISSION</w:t>
      </w:r>
      <w:r w:rsidDel="00000000" w:rsidR="00000000" w:rsidRPr="00000000">
        <w:rPr>
          <w:color w:val="333333"/>
          <w:sz w:val="20"/>
          <w:szCs w:val="20"/>
          <w:highlight w:val="white"/>
          <w:rtl w:val="0"/>
        </w:rPr>
        <w:t xml:space="preserve">. Lincoln University. </w:t>
      </w:r>
      <w:hyperlink r:id="rId15">
        <w:r w:rsidDel="00000000" w:rsidR="00000000" w:rsidRPr="00000000">
          <w:rPr>
            <w:color w:val="1155cc"/>
            <w:sz w:val="20"/>
            <w:szCs w:val="20"/>
            <w:highlight w:val="white"/>
            <w:u w:val="single"/>
            <w:rtl w:val="0"/>
          </w:rPr>
          <w:t xml:space="preserve">https://journals.lincoln.ac.nz/index.php/mk/article/download/1156/825/</w:t>
        </w:r>
      </w:hyperlink>
      <w:r w:rsidDel="00000000" w:rsidR="00000000" w:rsidRPr="00000000">
        <w:rPr>
          <w:color w:val="333333"/>
          <w:sz w:val="20"/>
          <w:szCs w:val="20"/>
          <w:highlight w:val="white"/>
          <w:rtl w:val="0"/>
        </w:rPr>
        <w:t xml:space="preserve"> </w:t>
      </w:r>
      <w:commentRangeEnd w:id="3"/>
      <w:r w:rsidDel="00000000" w:rsidR="00000000" w:rsidRPr="00000000">
        <w:commentReference w:id="3"/>
      </w:r>
      <w:r w:rsidDel="00000000" w:rsidR="00000000" w:rsidRPr="00000000">
        <w:rPr>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O'Regan" w:id="0" w:date="2021-08-16T07:29:4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for this report was sourced from a variety of websites. Of those, it can be assumed that the most reliable of the data provided was from the government and educational sites. I was unable to source all my information from these sites, however, with a more thorough search of the government sites, I would have been able to find more information, increasing the credibility and quantity of the information provided.</w:t>
      </w:r>
    </w:p>
  </w:comment>
  <w:comment w:author="Joshua O'Regan" w:id="3" w:date="2021-08-16T07:32:10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sources used for this assignment were a report written by an ANU student enrolled in the indigenous health unit as well as an ANU publication on Aboriginal placenames. While the report could be considered less reliable of a source due to it being a piece written by a student as opposed to an endorsed publication by the ANU, the information provided by the report was invaluable to me as I was unable to locate the information on any other websites, furthermore, it is still a thoroughly researched and referenced report. The publication however is a piece with an extensive reference list as well as it being publicly available on the ANU website, an educational institution so much like government sites, it is crucial that the information provided by reputable and accurate.</w:t>
      </w:r>
    </w:p>
  </w:comment>
  <w:comment w:author="Joshua O'Regan" w:id="2" w:date="2021-08-16T07:31:4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portion of the assignment was primarily written from the "Forkword Plosm" website. Information from this site however is not credible as the information provided was from a freelance writer from NSW, and there is no indication that he is a reliable and credible source. With that being said, I was unable to find an alternate source to provide the Aboriginal words and English translations. Moreover, whilst "Forkword Plosm" was used for the majority of the language portion of the report, there were other sites that were used to gather information about the varying dialects. Those sites are not listed in the references, for future reference, I need to make sure to more carefully record the sites I use in the making of my assignments.</w:t>
      </w:r>
    </w:p>
  </w:comment>
  <w:comment w:author="Joshua O'Regan" w:id="1" w:date="2021-08-16T07:3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data for modern Ngunnawal I derived from two websites, one of which has the Australian Bureau of Statistics and United nations sourced for their statistics whilst the other was utilized to cross-check the information and validate the information I put into the presentation.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crotrends.net/cities/206175/canberra/population" TargetMode="External"/><Relationship Id="rId10" Type="http://schemas.openxmlformats.org/officeDocument/2006/relationships/hyperlink" Target="https://aiatsis.gov.au/explore/map-indigenous-australia" TargetMode="External"/><Relationship Id="rId13" Type="http://schemas.openxmlformats.org/officeDocument/2006/relationships/hyperlink" Target="https://www.forkword.com/plog/?p=694" TargetMode="External"/><Relationship Id="rId12" Type="http://schemas.openxmlformats.org/officeDocument/2006/relationships/hyperlink" Target="https://worldpopulationreview.com/world-cities/canberra-popula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iatsis.gov.au/explore/living-languages" TargetMode="External"/><Relationship Id="rId15" Type="http://schemas.openxmlformats.org/officeDocument/2006/relationships/hyperlink" Target="https://journals.lincoln.ac.nz/index.php/mk/article/download/1156/825/" TargetMode="External"/><Relationship Id="rId14" Type="http://schemas.openxmlformats.org/officeDocument/2006/relationships/hyperlink" Target="http://press-files.anu.edu.au/downloads/press/p17331/html/ch04.xhtml?referer&amp;page=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act.gov.au/ngunnawal-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