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AI Content Specialist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Content and AI workflow specialist with 15+ years writing client-facing copy, technical guides, and thought-leadership content, plus hands-on experience building AI-assisted content and automation workflows, from translating loosely-defined requests into precise, structured prompts to designing evaluation frameworks that catch drift in AI-generated output before it reaches an audience. Real, current SEO experience (technical audits, keyword research, content optimization) across multiple roles. Comfortable translating complex technical concepts into accessible content for professional audiences and managing multiple concurrent projects against deadlines.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bridging business intent and reliable AI output.</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AI-generated outputs, catching drift and quality issues before they reach an audience.</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content and marketing workflows into structured, repeatable AI-assisted processes, building reusable prompt logic and internal tooling.</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thought-leadership content, newsletters, and educational guides on systems architecture, CRM optimization, and operational growth for B2B audiences.</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keyword-gap analyses, and competitor research, implementing content optimizations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Draft clean, specific, direct-response copy, outreach sequences, and landing pages that drive engagement and pipeline.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 landing pages, complex email sequences, conversion-focused copy -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marketing-automation tools, translating platform capabilities into plain-language guidance.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training sequences that reduced onboarding friction.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and reduced handoff errors.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translating technical requirements into plain-language recommendations.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AI &amp; Content Workflows:  </w:t>
      </w:r>
      <w:r>
        <w:rPr>
          <w:rFonts w:ascii="Calibri" w:hAnsi="Calibri"/>
          <w:b w:val="0"/>
          <w:i w:val="0"/>
          <w:color w:val="1A1A1A"/>
        </w:rPr>
        <w:t>AI-Assisted Content Development, Prompt Engineering, AI Output Quality Control, Workflow Automation, Agentic Systems</w:t>
      </w:r>
    </w:p>
    <w:p>
      <w:pPr>
        <w:spacing w:after="30"/>
      </w:pPr>
      <w:r>
        <w:rPr>
          <w:rFonts w:ascii="Calibri" w:hAnsi="Calibri"/>
          <w:b/>
          <w:i w:val="0"/>
          <w:color w:val="1A1A1A"/>
        </w:rPr>
        <w:t xml:space="preserve">Writing &amp; Editorial:  </w:t>
      </w:r>
      <w:r>
        <w:rPr>
          <w:rFonts w:ascii="Calibri" w:hAnsi="Calibri"/>
          <w:b w:val="0"/>
          <w:i w:val="0"/>
          <w:color w:val="1A1A1A"/>
        </w:rPr>
        <w:t>Thought Leadership Content, Technical-to-Accessible Translation, Direct-Response Copy, Editorial Voice Consistency</w:t>
      </w:r>
    </w:p>
    <w:p>
      <w:pPr>
        <w:spacing w:after="30"/>
      </w:pPr>
      <w:r>
        <w:rPr>
          <w:rFonts w:ascii="Calibri" w:hAnsi="Calibri"/>
          <w:b/>
          <w:i w:val="0"/>
          <w:color w:val="1A1A1A"/>
        </w:rPr>
        <w:t xml:space="preserve">SEO:  </w:t>
      </w:r>
      <w:r>
        <w:rPr>
          <w:rFonts w:ascii="Calibri" w:hAnsi="Calibri"/>
          <w:b w:val="0"/>
          <w:i w:val="0"/>
          <w:color w:val="1A1A1A"/>
        </w:rPr>
        <w:t>Keyword Research, Technical SEO Audits, Content Optimization, Metadata &amp; On-Page SEO</w:t>
      </w:r>
    </w:p>
    <w:p>
      <w:pPr>
        <w:spacing w:after="30"/>
      </w:pPr>
      <w:r>
        <w:rPr>
          <w:rFonts w:ascii="Calibri" w:hAnsi="Calibri"/>
          <w:b/>
          <w:i w:val="0"/>
          <w:color w:val="1A1A1A"/>
        </w:rPr>
        <w:t xml:space="preserve">Tools &amp; Platforms:  </w:t>
      </w:r>
      <w:r>
        <w:rPr>
          <w:rFonts w:ascii="Calibri" w:hAnsi="Calibri"/>
          <w:b w:val="0"/>
          <w:i w:val="0"/>
          <w:color w:val="1A1A1A"/>
        </w:rPr>
        <w:t>HubSpot, GoHighLevel, GA4, Google Search Console,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