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August 31, 2026</w:t>
      </w:r>
    </w:p>
    <w:p>
      <w:pPr>
        <w:spacing w:after="20"/>
      </w:pPr>
      <w:r>
        <w:rPr>
          <w:rFonts w:ascii="Calibri" w:hAnsi="Calibri"/>
          <w:b/>
          <w:color w:val="1A1A1A"/>
        </w:rPr>
        <w:t>Lighthouse</w:t>
      </w:r>
    </w:p>
    <w:p>
      <w:pPr>
        <w:spacing w:after="160"/>
      </w:pPr>
      <w:r>
        <w:rPr>
          <w:rFonts w:ascii="Calibri" w:hAnsi="Calibri"/>
          <w:b w:val="0"/>
          <w:color w:val="1A1A1A"/>
        </w:rPr>
        <w:t>Re: Account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Account Manager role in Denver. The posting is direct about AI-first proficiency being central to the job, treating a portfolio as a systems problem rather than handling accounts one at a time, and that's exactly how I already work.</w:t>
      </w:r>
    </w:p>
    <w:p>
      <w:pPr>
        <w:spacing w:after="160"/>
      </w:pPr>
      <w:r>
        <w:rPr>
          <w:rFonts w:ascii="Calibri" w:hAnsi="Calibri"/>
          <w:b w:val="0"/>
          <w:color w:val="1A1A1A"/>
        </w:rPr>
        <w:t>At Solenzo, I architect and deploy AI-driven systems daily: autonomous agent workflows, structured LLM prompting, and automation that runs lead enrichment, outreach, and booking without manual handling. I translate what a non-technical stakeholder wants into precise agent instructions, the same skill this role needs to make Claude and Gemini genuinely useful across an 80-account portfolio rather than a novelty. On the account side, I managed a portfolio of 15 to 20 partners at Birdeye and retained all but one, about 94%, by tracking customer health and stepping in on adoption before it became a churn risk. At Accelo, I guided clients through onboarding, workflow design, and API integrations, building the kind of C-suite trust that keeps a renewal conversation calm instead of adversarial.</w:t>
      </w:r>
    </w:p>
    <w:p>
      <w:pPr>
        <w:spacing w:after="160"/>
      </w:pPr>
      <w:r>
        <w:rPr>
          <w:rFonts w:ascii="Calibri" w:hAnsi="Calibri"/>
          <w:b w:val="0"/>
          <w:color w:val="1A1A1A"/>
        </w:rPr>
        <w:t>I don't have hospitality-specific experience, no PMS, OTA, or revenue-management background, and I'd rather say that directly than let it surface later. What I do have is a track record of getting fluent in a new platform fast enough to advise on it, and fifteen years of owning the full account lifecycle from onboarding through renewal and expansion. I'd welcome the chance to talk through how that combination would work for a portfolio like this one.</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