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July 24, 2026</w:t>
      </w:r>
    </w:p>
    <w:p>
      <w:pPr>
        <w:spacing w:after="20"/>
      </w:pPr>
      <w:r>
        <w:rPr>
          <w:rFonts w:ascii="Calibri" w:hAnsi="Calibri"/>
          <w:b/>
          <w:color w:val="1A1A1A"/>
        </w:rPr>
        <w:t>New Chapter</w:t>
      </w:r>
    </w:p>
    <w:p>
      <w:pPr>
        <w:spacing w:after="160"/>
      </w:pPr>
      <w:r>
        <w:rPr>
          <w:rFonts w:ascii="Calibri" w:hAnsi="Calibri"/>
          <w:b w:val="0"/>
          <w:color w:val="1A1A1A"/>
        </w:rPr>
        <w:t>Re: eCommerce Content &amp; Operations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eCommerce Content &amp; Operations Manager role. The core of the job, being the connector who keeps content accurate and compliant while driving launches and conversion on time across brand, creative, analytics, and agency partners, is what I've done for 15 years.</w:t>
      </w:r>
    </w:p>
    <w:p>
      <w:pPr>
        <w:spacing w:after="160"/>
      </w:pPr>
      <w:r>
        <w:rPr>
          <w:rFonts w:ascii="Calibri" w:hAnsi="Calibri"/>
          <w:b w:val="0"/>
          <w:color w:val="1A1A1A"/>
        </w:rPr>
        <w:t>A few things that line up directly. I own product and web content end to end, building pages in the CMS, maintaining standards and consistency, and running the CRO and SEO work that lifts conversion. At Wix I managed a high-value e-commerce portfolio and drove a 30% increase in traffic and a 25% improvement in conversion while leading site launches and coordinating across teams to hit deadlines. And I'm the person who keeps cross-functional work moving, managing timelines and stakeholders so launches, promotions, and pricing updates ship flawlessly.</w:t>
      </w:r>
    </w:p>
    <w:p>
      <w:pPr>
        <w:spacing w:after="160"/>
      </w:pPr>
      <w:r>
        <w:rPr>
          <w:rFonts w:ascii="Calibri" w:hAnsi="Calibri"/>
          <w:b w:val="0"/>
          <w:color w:val="1A1A1A"/>
        </w:rPr>
        <w:t>I'll be straight about the gap: my e-commerce depth is in DTC and web platforms rather than Amazon Seller Central and PDP merchandising specifically. That's a ramp, not a rebuild, the content operations, conversion, and cross-functional execution transfer directly, and I move fast on new platforms. Given New Chapter is a regulated, compliance-heavy product, my experience building accurate, standards-driven content systems in a regulated environment is a real fit. I'd welcome the conversation.</w:t>
      </w:r>
    </w:p>
    <w:p>
      <w:pPr>
        <w:spacing w:after="160"/>
      </w:pPr>
      <w:r>
        <w:rPr>
          <w:rFonts w:ascii="Calibri" w:hAnsi="Calibri"/>
          <w:b w:val="0"/>
          <w:color w:val="1A1A1A"/>
        </w:rPr>
        <w:t>Thank you for your time and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