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Search, Ads &amp; Content Quality | Paid Search, SEO, Ad Relevance &amp; Rubric-Based Evaluation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U.S.-based digital marketer with hands-on experience judging whether ads and search results actually match what a person is looking for. Runs Google Ads, LinkedIn, and Meta campaigns (Meta Ads certified), does keyword and search-term analysis, and has 4 years of SEO work including AI search visibility. Builds rubric-based grading criteria and personally scores and labels output against them. Daily Gmail, Google Workspace, and social media user.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rubric-based grading criteria for a 9-dimension website audit and personally labeled and scored outputs against those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responses for client systems, rating output quality against written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on search relevance, AI search visibility, and local SEO for non-technical business owners.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ad targeting, and A/B-tested LinkedIn ad setups across accounts at $20K+/month in ad spend.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(landing pages, ad and email copy) written for conversion and message fit.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 local search and online reputation, setting up businesses' listings across directories so search results showed accurate information.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 and recommended optimizations.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small businesses on site content, SEO, and Google Business Profile, contributing to a 30% increase in traffic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Search &amp; Ads:  </w:t>
      </w:r>
      <w:r>
        <w:rPr>
          <w:rFonts w:ascii="Calibri" w:hAnsi="Calibri"/>
          <w:b w:val="0"/>
          <w:i w:val="0"/>
          <w:color w:val="1A1A1A"/>
        </w:rPr>
        <w:t>Ad &amp; Search Relevance, Google Ads, Meta Ads (certified), LinkedIn Ads, Keyword &amp; Search-Term Analysis, SEO &amp; AI Search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Evaluation:  </w:t>
      </w:r>
      <w:r>
        <w:rPr>
          <w:rFonts w:ascii="Calibri" w:hAnsi="Calibri"/>
          <w:b w:val="0"/>
          <w:i w:val="0"/>
          <w:color w:val="1A1A1A"/>
        </w:rPr>
        <w:t>Rubric-Based Rating, Data Labeling, AI Output Evaluation, Gmail, Google Workspace, Social Media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