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July 24, 2026</w:t>
      </w:r>
    </w:p>
    <w:p>
      <w:pPr>
        <w:spacing w:after="20"/>
      </w:pPr>
      <w:r>
        <w:rPr>
          <w:rFonts w:ascii="Calibri" w:hAnsi="Calibri"/>
          <w:b/>
          <w:color w:val="1A1A1A"/>
        </w:rPr>
        <w:t>Keeper Security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Customer Success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Customer Success Manager role. The shape of the job is what I do best: own a book of accounts, keep customers adopting and renewing, and grow the relationship through cross-sells and upsells. I've done it for 15 years, and I'm based in Colorado, one of your listed states.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 few proof points against how you'd measure me. At Birdeye I owned a 15-20 account B2B book and retained all but one, about 94%, running the reviews and health checks that catch risk early. At Accelo I carried a services quota and consistently landed above the commission floor into the accelerator tiers, roughly $213K in annualized bookings plus new recurring revenue, while guiding onboarding, integrations, and renewals for C-suite buyers. I'm technical enough to walk a customer through setup and troubleshooting, and I run QBRs that tie the product back to the customer's actual goals.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I'll be direct about the gap: I haven't sold cybersecurity or password/identity products specifically. What I bring instead is a fast ramp on technical products (I run my own operations-automation company) and a real track record of retention and expansion that transfers cleanly to a named-account CSM book. I'd welcome the conversation.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Thank you for your time and consideration.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