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Revenue &amp; Marketing Operations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Revenue and marketing operations leader with 15+ years building CRM architecture, lifecycle automation, and performance-reporting infrastructure across MarTech, SaaS, and agency environments. I align demand generation, sales, and customer success around a single revenue model, then build the HubSpot/Salesforce systems and dashboards that make pipeline predictable. Equal parts systems architect and strategic operator, with hands-on fluency in AI-driven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Revenue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end-to-end HubSpot CRM systems for a portfolio of B2B clients — contact segmentation, lifecycle stages, lead routing, and strict data-hygiene protocols that keep pipeline reporting trustworthy.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full-lifecycle revenue strategies spanning demand generation, sales CRM architecture, and customer success, demonstrating clear ROI and aligning marketing programs with revenue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actionable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 and onboarding workflows that activate, nurture, and retain high-value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AI-driven automation and internal tooling — lead enrichment, scoring, and personalized outreach — integrating directly with client CRMs and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 to capture high-leverage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to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strategies across inbound, paid media, and content, coordinating execution across internal departments as the strategic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multi-stakeholder campaign data into strategic recommendations that improved lead generation and pipeline outcomes.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rapid adoption of marketing 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health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alignment between marketing, creative, and client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scalable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a strategic advisor on CRM adoption, helping clients build scalable operational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consultative sales instincts around customer retention and technology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customer-management, and supplier workflows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Revenue Operations:  </w:t>
      </w:r>
      <w:r>
        <w:rPr>
          <w:rFonts w:ascii="Calibri" w:hAnsi="Calibri"/>
          <w:b w:val="0"/>
          <w:i w:val="0"/>
          <w:color w:val="1A1A1A"/>
        </w:rPr>
        <w:t>HubSpot CRM Architecture, Salesforce, Lifecycle Stages, Lead Routing, Data Hygiene, Pipeline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Campaign Attribution, ROI Dashboards, QBRs,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Demand Gen:  </w:t>
      </w:r>
      <w:r>
        <w:rPr>
          <w:rFonts w:ascii="Calibri" w:hAnsi="Calibri"/>
          <w:b w:val="0"/>
          <w:i w:val="0"/>
          <w:color w:val="1A1A1A"/>
        </w:rPr>
        <w:t>Full-funnel acquisition, Lifecycle Marketing, CRO, A/B Testing, SEO, Email Marketing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LLM workflows, Lead Enrichment, Prompt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GoHighLevel, Notion, Asana, Ahrefs, Semrush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