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color w:val="163A5F"/>
          <w:sz w:val="36"/>
        </w:rPr>
        <w:t>Joshua Rotenberg</w:t>
      </w:r>
    </w:p>
    <w:p>
      <w:pPr>
        <w:spacing w:after="200"/>
        <w:jc w:val="center"/>
      </w:pPr>
      <w:r>
        <w:rPr>
          <w:rFonts w:ascii="Calibri" w:hAnsi="Calibri"/>
          <w:b w:val="0"/>
          <w:color w:val="555555"/>
          <w:sz w:val="18"/>
        </w:rPr>
        <w:t>Arvada, CO (Remote)  •  303-726-5037  •  jrotnbrg@gmail.com  •  linkedin.com/in/joshua-rotenberg</w:t>
      </w:r>
    </w:p>
    <w:p>
      <w:pPr>
        <w:spacing w:after="120"/>
      </w:pPr>
      <w:r>
        <w:rPr>
          <w:rFonts w:ascii="Calibri" w:hAnsi="Calibri"/>
          <w:b w:val="0"/>
          <w:color w:val="1A1A1A"/>
        </w:rPr>
        <w:t>September 7, 2026</w:t>
      </w:r>
    </w:p>
    <w:p>
      <w:pPr>
        <w:spacing w:after="20"/>
      </w:pPr>
      <w:r>
        <w:rPr>
          <w:rFonts w:ascii="Calibri" w:hAnsi="Calibri"/>
          <w:b/>
          <w:color w:val="1A1A1A"/>
        </w:rPr>
        <w:t>Headway</w:t>
      </w:r>
    </w:p>
    <w:p>
      <w:pPr>
        <w:spacing w:after="160"/>
      </w:pPr>
      <w:r>
        <w:rPr>
          <w:rFonts w:ascii="Calibri" w:hAnsi="Calibri"/>
          <w:b w:val="0"/>
          <w:color w:val="1A1A1A"/>
        </w:rPr>
        <w:t>Re: Customer Care Associate</w:t>
      </w:r>
    </w:p>
    <w:p>
      <w:pPr>
        <w:spacing w:after="160"/>
      </w:pPr>
      <w:r>
        <w:rPr>
          <w:rFonts w:ascii="Calibri" w:hAnsi="Calibri"/>
          <w:b w:val="0"/>
          <w:color w:val="1A1A1A"/>
        </w:rPr>
        <w:t>Hi Headway Hiring Team,</w:t>
      </w:r>
    </w:p>
    <w:p>
      <w:pPr>
        <w:spacing w:after="160"/>
      </w:pPr>
      <w:r>
        <w:rPr>
          <w:rFonts w:ascii="Calibri" w:hAnsi="Calibri"/>
          <w:b w:val="0"/>
          <w:color w:val="1A1A1A"/>
        </w:rPr>
        <w:t>I'm applying for the Customer Care Associate role because Headway's mission, making mental healthcare actually accessible, is the kind of problem I want to spend my day solving for real people, not just accounts. My healthcare exposure goes back to early in my career, prospecting for an online healthcare business directory, and while it's been a while since I worked inside the industry, what I've built since is over a decade of guiding people through confusing technical situations with patience and clear communication, and turning a frustrated customer into someone who trusts the product again.</w:t>
      </w:r>
    </w:p>
    <w:p>
      <w:pPr>
        <w:spacing w:after="160"/>
      </w:pPr>
      <w:r>
        <w:rPr>
          <w:rFonts w:ascii="Calibri" w:hAnsi="Calibri"/>
          <w:b w:val="0"/>
          <w:color w:val="1A1A1A"/>
        </w:rPr>
        <w:t>At Birdeye, I guided customers through complex technical setup daily, and I used utilization data to catch adoption problems before they became bigger issues, the same instinct behind Headway's ask to proactively surface friction and propose fixes. At Accelo, I troubleshot workflow and technical issues during onboarding and escalated real problems early rather than letting them sit, the same judgment call a good de-escalation calls for. At Wix, I onboarded and launched 25+ clients a month while holding 120% of my targets, so working toward a daily resolution number isn't new to me.</w:t>
      </w:r>
    </w:p>
    <w:p>
      <w:pPr>
        <w:spacing w:after="160"/>
      </w:pPr>
      <w:r>
        <w:rPr>
          <w:rFonts w:ascii="Calibri" w:hAnsi="Calibri"/>
          <w:b w:val="0"/>
          <w:color w:val="1A1A1A"/>
        </w:rPr>
        <w:t>I run my own client-facing business today, which means I already think like an owner of every interaction, not just an employee handling a ticket. I'd welcome the chance to bring that same ownership to Headway's providers and patients.</w:t>
      </w:r>
    </w:p>
    <w:p>
      <w:pPr>
        <w:spacing w:after="280"/>
      </w:pPr>
      <w:r>
        <w:rPr>
          <w:rFonts w:ascii="Calibri" w:hAnsi="Calibri"/>
          <w:b w:val="0"/>
          <w:color w:val="1A1A1A"/>
        </w:rPr>
        <w:t>Sincerely,</w:t>
      </w:r>
    </w:p>
    <w:p>
      <w:pPr>
        <w:spacing w:after="160"/>
      </w:pPr>
      <w:r>
        <w:rPr>
          <w:rFonts w:ascii="Calibri" w:hAnsi="Calibri"/>
          <w:b w:val="0"/>
          <w:color w:val="1A1A1A"/>
        </w:rPr>
        <w:t>Joshua Rotenberg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s="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