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16,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Marketing For Therapists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Google Ads Specialist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Google Ads Specialist role. Nearly all of my agency and account work has been with small service-based businesses rather than ecommerce, and I've spent real time inside the compliance layer that makes a therapy account different from a typical local business: no remarketing on personal health signals, no testimonials in the ad copy, and a tighter negative-keyword list around crisis-adjacent search terms. That's the kind of constraint I like designing inside rather than working around.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Solenzo, I own Google Ads accounts for B2B service clients end to end. On one account I rebuilt targeting and negatives to cut spam and low-quality leads and improve click quality, then traced the remaining conversion gap to the website itself instead of calling the account a win on click metrics alone. At Level Agency, I built the reporting frameworks, tracking ROI, CAC, LTV, and conversion KPIs, that ran our quarterly business reviews, and handled the keyword and search-term research that shaped where budget went.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Fifteen-plus years of client account work has taught me the same thing your posting describes: tell the client what's actually working, not what makes the report look better. That's the standard I hold myself to, and it's why the transparency and ethics you lead with read as a genuine fit, not just a line in a job post.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conversation.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