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23, 2026</w:t>
      </w:r>
    </w:p>
    <w:p>
      <w:pPr>
        <w:spacing w:after="20"/>
      </w:pPr>
      <w:r>
        <w:rPr>
          <w:rFonts w:ascii="Calibri" w:hAnsi="Calibri"/>
          <w:b/>
          <w:color w:val="1A1A1A"/>
        </w:rPr>
        <w:t>LawnStarter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Senior Lifecycle Marketing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am excited to apply for the Senior Lifecycle Marketing Manager role at LawnStarter because the way you describe the job aligns closely with how I work: no agency, no contractor pool, you write the message, build it, send it, and analyze the results yourself. That has been my daily reality at Solenzo, the company I founded and have led for the past two and a half years.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have architected a comprehensive lifecycle automation system, over 20 workflows spanning lead capture, qualification, triggered booking with confirmations and reminders, no-show recovery, onboarding nurture, and long-term reactivation, and I built every piece of it myself: the agent logic, the copy, and the monitoring that detects and resolves issues before a customer even notices.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break down manual marketing workflows into agent-driven architectures that score a business's digital footprint and generate personalized outreach at a level of detail impossible to achieve by hand, the same challenge you describe as the reason this role exists.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While I have not used Braze specifically, the discipline (segmentation, triggered logic, personalization, and the judgment to know what truly deserves automation) is the same skill regardless of platform. I quickly master new tools because every client relationship begins with learning their existing stack.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would welcome the opportunity to discuss in detail what I have built and the impact it had. Thank you for considering my application.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