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SEO &amp; Conversion Optimization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Digital marketing operator with 15+ years in MarTech, SaaS, and agency environments, including hands-on SEO, technical audits, and conversion rate optimization. Delivered a 30% increase in organic website traffic and a 25% improvement in conversion rates through site architecture, on-page optimization, and CRO initiatives. Combines SEO strategy, GA4/Search Console analytics, and cross-functional execution with direct-response copywriting and full-funnel marketing systems for B2B and B2C organizations.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on-page and content fixes directly inside client CMS platforms to improve crawlability and indexing.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bottleneck, demonstrating full-funnel troubleshooting from paid traffic through landing-page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that monitor campaign performance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client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owners, producing consistent messaging and qualified lead flow across email, CRM, and web channels.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 across inbound and paid channels.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including landing pages and conversion-focused copy,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customers.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Content:  </w:t>
      </w:r>
      <w:r>
        <w:rPr>
          <w:rFonts w:ascii="Calibri" w:hAnsi="Calibri"/>
          <w:b w:val="0"/>
          <w:i w:val="0"/>
          <w:color w:val="1A1A1A"/>
        </w:rPr>
        <w:t>On-Page SEO, Technical SEO Audits, Keyword Research &amp; Gap Analysis, Competitor Research, Content Optimization, CMS Implementation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Tools:  </w:t>
      </w:r>
      <w:r>
        <w:rPr>
          <w:rFonts w:ascii="Calibri" w:hAnsi="Calibri"/>
          <w:b w:val="0"/>
          <w:i w:val="0"/>
          <w:color w:val="1A1A1A"/>
        </w:rPr>
        <w:t>Google Analytics (GA4), Google Search Console, Semrush, Ahrefs, Campaign Attribution, KPI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Conversion &amp; Growth:  </w:t>
      </w:r>
      <w:r>
        <w:rPr>
          <w:rFonts w:ascii="Calibri" w:hAnsi="Calibri"/>
          <w:b w:val="0"/>
          <w:i w:val="0"/>
          <w:color w:val="1A1A1A"/>
        </w:rPr>
        <w:t>Conversion Rate Optimization (CRO), A/B Testing, Landing Pages, Email Marketing, Full-Funnel Acquisition, Paid Media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&amp; Systems:  </w:t>
      </w:r>
      <w:r>
        <w:rPr>
          <w:rFonts w:ascii="Calibri" w:hAnsi="Calibri"/>
          <w:b w:val="0"/>
          <w:i w:val="0"/>
          <w:color w:val="1A1A1A"/>
        </w:rPr>
        <w:t>Direct-Response Copywriting, CRM Architecture (GoHighLevel, HubSpot), Marketing Automation, Stakeholder Collaboration, Performance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