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11, 2026</w:t>
      </w:r>
    </w:p>
    <w:p>
      <w:pPr>
        <w:spacing w:after="20"/>
      </w:pPr>
      <w:r>
        <w:rPr>
          <w:rFonts w:ascii="Calibri" w:hAnsi="Calibri"/>
          <w:b/>
          <w:color w:val="1A1A1A"/>
        </w:rPr>
        <w:t>Driivz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Technical Customer Success Manager (DRI007059)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Technical Customer Success Manager role caught my attention because it combines exactly what I've built my career around: owning the account relationship and being the technical point of contact when integrations, data flows, or platform configuration break down.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Accelo, I guided C-Suite stakeholders through API integrations and workflow design as their trusted technical advisor, sequencing which systems to change first based on where the real risk sat. At Birdeye, I onboarded and managed 15 to 20 partner accounts with about 94% retention, and I was the one relaying structured customer feedback to Product and Engineering when the platform didn't do what a partner needed. At Wix, I managed a high-value account portfolio and led a team of onboarding specialists, building the training that got new hires and tenured reps to the same technical standard.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My account sizes have run mid-market rather than the largest enterprise ARR tier, and I want to be upfront about that rather than let it surface later. What I bring is the technical ownership this role runs on: I don't hand off integration or configuration problems, I work them myself and make sure they don't come back. I'd welcome a conversation about how that translates to Driivz's enterprise accounts and platform.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