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Key Account Marketing &amp; Campaign Strategy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marketing and account management professional with 15+ years across agency, MarTech, and SaaS, building account-specific marketing plans and multichannel campaigns that drive client retention and revenue. At Level Agency, led integrated campaigns for multi-stakeholder accounts, advised on ad-spend budgets, and delivered QBRs tracking ROI, CAC, LTV, and conversion. Retained ~94% of a 15-20 partner reseller network at Birdeye. Uses Salesforce, HubSpot, GA4, Power BI, and AI tools to turn large data sets into clear performance narratives and next steps.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marketing relationship for a portfolio of B2B service clients, building account-specific plans from discovery into goals, market challenges, and revenue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multichannel programs across local SEO, Google Ads, email and SMS, landing pages, and LinkedIn, aligning messaging with business owners and sales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in Power BI and GA4 tracking lead generation, funnel progression, and campaign ROI, and present insight-driven recaps with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AI tools and LLM workflows daily to synthesize data and build personalized outreach, including an audit workflow that enrolled 180+ businesses.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Grow accounts by scoping complementary services through proposals and SOWs.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B2B marketing strategies across inbound, paid media, and content for multi-stakeholder accounts,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ad-spend budget planning and allocation across paid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delivering QBRs and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account-based LinkedIn campaigns targeting small, highly researched audiences with A/B-tested setups.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Represented Level Agency at industry events.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Equipped partners to communicate product value to their own customers, and analyzed utilization data to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Represented Birdeye at tradeshows and events, and managed the partner book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analyzing paid media and creative performance and translating results into optimization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overseeing budgets, scope,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launching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relationships with C-suite executives at agencies and professional-services firms as a trusted advisor, and represented Accelo at tradeshows and events.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Key Account Marketing:  </w:t>
      </w:r>
      <w:r>
        <w:rPr>
          <w:rFonts w:ascii="Calibri" w:hAnsi="Calibri"/>
          <w:b w:val="0"/>
          <w:i w:val="0"/>
          <w:color w:val="1A1A1A"/>
        </w:rPr>
        <w:t>Account-Specific Marketing Plans, Multichannel Campaigns, Events &amp; Tradeshows, Budget Management, Campaign ROI, Client Retention &amp; Growth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Analytics:  </w:t>
      </w:r>
      <w:r>
        <w:rPr>
          <w:rFonts w:ascii="Calibri" w:hAnsi="Calibri"/>
          <w:b w:val="0"/>
          <w:i w:val="0"/>
          <w:color w:val="1A1A1A"/>
        </w:rPr>
        <w:t>Salesforce, HubSpot, GA4, Power BI, Excel, SQL, AI-Assisted Analysis (Claude, ChatGPT), Data Storytelling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Channels:  </w:t>
      </w:r>
      <w:r>
        <w:rPr>
          <w:rFonts w:ascii="Calibri" w:hAnsi="Calibri"/>
          <w:b w:val="0"/>
          <w:i w:val="0"/>
          <w:color w:val="1A1A1A"/>
        </w:rPr>
        <w:t>Paid Search &amp; Paid Social (Meta certified), LinkedIn ABM, Email &amp; SMS, SEO, Landing Pages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